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A07" w:rsidRDefault="008D1A07" w:rsidP="008D1A07">
      <w:pPr>
        <w:pStyle w:val="OrderHeading"/>
      </w:pPr>
      <w:r>
        <w:t>BEFORE THE FLORIDA PUBLIC SERVICE COMMISSION</w:t>
      </w:r>
    </w:p>
    <w:p w:rsidR="008D1A07" w:rsidRDefault="008D1A07" w:rsidP="008D1A07">
      <w:pPr>
        <w:pStyle w:val="OrderBody"/>
      </w:pPr>
    </w:p>
    <w:p w:rsidR="008D1A07" w:rsidRDefault="008D1A07" w:rsidP="008D1A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D1A07" w:rsidRPr="00C63FCF" w:rsidTr="00C63FCF">
        <w:trPr>
          <w:trHeight w:val="828"/>
        </w:trPr>
        <w:tc>
          <w:tcPr>
            <w:tcW w:w="4788" w:type="dxa"/>
            <w:tcBorders>
              <w:bottom w:val="single" w:sz="8" w:space="0" w:color="auto"/>
              <w:right w:val="double" w:sz="6" w:space="0" w:color="auto"/>
            </w:tcBorders>
            <w:shd w:val="clear" w:color="auto" w:fill="auto"/>
          </w:tcPr>
          <w:p w:rsidR="008D1A07" w:rsidRDefault="008D1A07" w:rsidP="00C63FCF">
            <w:pPr>
              <w:pStyle w:val="OrderBody"/>
              <w:tabs>
                <w:tab w:val="center" w:pos="4320"/>
                <w:tab w:val="right" w:pos="8640"/>
              </w:tabs>
              <w:jc w:val="left"/>
            </w:pPr>
            <w:r>
              <w:t xml:space="preserve">In re: </w:t>
            </w:r>
            <w:bookmarkStart w:id="0" w:name="SSInRe"/>
            <w:bookmarkEnd w:id="0"/>
            <w:r>
              <w:t>Petition for determination of need for Andytown-Oasis transmission lines project in Broward and Miami-Dade Counties, by Florida Power &amp; Light Company.</w:t>
            </w:r>
          </w:p>
        </w:tc>
        <w:tc>
          <w:tcPr>
            <w:tcW w:w="4788" w:type="dxa"/>
            <w:tcBorders>
              <w:left w:val="double" w:sz="6" w:space="0" w:color="auto"/>
            </w:tcBorders>
            <w:shd w:val="clear" w:color="auto" w:fill="auto"/>
          </w:tcPr>
          <w:p w:rsidR="008D1A07" w:rsidRDefault="008D1A07" w:rsidP="008D1A07">
            <w:pPr>
              <w:pStyle w:val="OrderBody"/>
            </w:pPr>
            <w:r>
              <w:t xml:space="preserve">DOCKET NO. </w:t>
            </w:r>
            <w:bookmarkStart w:id="1" w:name="SSDocketNo"/>
            <w:bookmarkEnd w:id="1"/>
            <w:r>
              <w:t>20260020-EI</w:t>
            </w:r>
          </w:p>
          <w:p w:rsidR="008D1A07" w:rsidRDefault="008D1A07" w:rsidP="00C63FCF">
            <w:pPr>
              <w:pStyle w:val="OrderBody"/>
              <w:tabs>
                <w:tab w:val="center" w:pos="4320"/>
                <w:tab w:val="right" w:pos="8640"/>
              </w:tabs>
              <w:jc w:val="left"/>
            </w:pPr>
            <w:r>
              <w:t xml:space="preserve">ORDER NO. </w:t>
            </w:r>
            <w:bookmarkStart w:id="2" w:name="OrderNo0083"/>
            <w:r w:rsidR="00AF50F4">
              <w:t>PSC-2026-0083-PCO-EI</w:t>
            </w:r>
            <w:bookmarkEnd w:id="2"/>
          </w:p>
          <w:p w:rsidR="008D1A07" w:rsidRDefault="008D1A07" w:rsidP="00C63FCF">
            <w:pPr>
              <w:pStyle w:val="OrderBody"/>
              <w:tabs>
                <w:tab w:val="center" w:pos="4320"/>
                <w:tab w:val="right" w:pos="8640"/>
              </w:tabs>
              <w:jc w:val="left"/>
            </w:pPr>
            <w:r>
              <w:t xml:space="preserve">ISSUED: </w:t>
            </w:r>
            <w:r w:rsidR="00AF50F4">
              <w:t>April 3, 2026</w:t>
            </w:r>
          </w:p>
        </w:tc>
      </w:tr>
    </w:tbl>
    <w:p w:rsidR="008D1A07" w:rsidRDefault="008D1A07" w:rsidP="008D1A07"/>
    <w:p w:rsidR="00CB5276" w:rsidRDefault="00D611DF" w:rsidP="008D1A07">
      <w:r>
        <w:t xml:space="preserve"> </w:t>
      </w:r>
    </w:p>
    <w:p w:rsidR="001C4D9C" w:rsidRDefault="008D1A07" w:rsidP="001C4D9C">
      <w:pPr>
        <w:pStyle w:val="CenterUnderline"/>
      </w:pPr>
      <w:bookmarkStart w:id="3" w:name="Commissioners"/>
      <w:bookmarkEnd w:id="3"/>
      <w:r>
        <w:t>ORDER</w:t>
      </w:r>
      <w:bookmarkStart w:id="4" w:name="OrderTitle"/>
      <w:r>
        <w:t xml:space="preserve"> </w:t>
      </w:r>
      <w:r w:rsidR="001C4D9C">
        <w:t xml:space="preserve">PROVISIONALLY </w:t>
      </w:r>
      <w:r>
        <w:t>GRANTING</w:t>
      </w:r>
    </w:p>
    <w:p w:rsidR="00CB5276" w:rsidRDefault="0010572F" w:rsidP="001C4D9C">
      <w:pPr>
        <w:pStyle w:val="CenterUnderline"/>
      </w:pPr>
      <w:r>
        <w:t>ENVIRONMENTAL DEFENSE FUND</w:t>
      </w:r>
      <w:bookmarkEnd w:id="4"/>
      <w:r w:rsidR="001C4D9C">
        <w:t>’S</w:t>
      </w:r>
    </w:p>
    <w:p w:rsidR="001C4D9C" w:rsidRDefault="001C4D9C" w:rsidP="001C4D9C">
      <w:pPr>
        <w:pStyle w:val="CenterUnderline"/>
      </w:pPr>
      <w:r>
        <w:t>MOTION TO INTERVENE</w:t>
      </w:r>
    </w:p>
    <w:p w:rsidR="008D1A07" w:rsidRDefault="008D1A07" w:rsidP="008D1A07">
      <w:pPr>
        <w:pStyle w:val="CenterUnderline"/>
      </w:pPr>
    </w:p>
    <w:p w:rsidR="008D1A07" w:rsidRDefault="00EC28B9" w:rsidP="00EC28B9">
      <w:pPr>
        <w:ind w:firstLine="720"/>
        <w:jc w:val="both"/>
      </w:pPr>
      <w:r w:rsidRPr="00EC28B9">
        <w:t>On February 9, 2026, pursuant to Section 403.537, Florida Statutes (F.S.), and Rule 25-22.075, Florida Administrative Code (F.A.C.), Florida Power &amp; Light Company (FPL) filed a Notice of Intent to File Petition for Transmission Lines Need Determination. FPL subsequently filed its Petition to Determine Need for Electrical Transmission Lines on March 11, 2026</w:t>
      </w:r>
      <w:r>
        <w:t xml:space="preserve">. </w:t>
      </w:r>
      <w:r w:rsidR="00DE5D5A">
        <w:t xml:space="preserve">Pursuant to Order No. PSC-2026-0056-PCO-EI, an evidentiary hearing on FPL’s petition was scheduled for </w:t>
      </w:r>
      <w:r w:rsidR="00637AC1">
        <w:t>April 23, 2026</w:t>
      </w:r>
      <w:r w:rsidR="008D1A07">
        <w:t>.</w:t>
      </w:r>
    </w:p>
    <w:p w:rsidR="008D1A07" w:rsidRDefault="008D1A07" w:rsidP="008D1A07">
      <w:pPr>
        <w:jc w:val="both"/>
      </w:pPr>
    </w:p>
    <w:p w:rsidR="008D1A07" w:rsidRPr="00173CF1" w:rsidRDefault="00633AF3" w:rsidP="008D1A07">
      <w:pPr>
        <w:jc w:val="both"/>
        <w:rPr>
          <w:u w:val="single"/>
        </w:rPr>
      </w:pPr>
      <w:r>
        <w:rPr>
          <w:u w:val="single"/>
        </w:rPr>
        <w:t>Motion to</w:t>
      </w:r>
      <w:r w:rsidR="008D1A07" w:rsidRPr="00173CF1">
        <w:rPr>
          <w:u w:val="single"/>
        </w:rPr>
        <w:t xml:space="preserve"> Interven</w:t>
      </w:r>
      <w:r>
        <w:rPr>
          <w:u w:val="single"/>
        </w:rPr>
        <w:t>e</w:t>
      </w:r>
    </w:p>
    <w:p w:rsidR="008D1A07" w:rsidRDefault="008D1A07" w:rsidP="00B22D64">
      <w:pPr>
        <w:jc w:val="both"/>
      </w:pPr>
    </w:p>
    <w:p w:rsidR="008D4C2E" w:rsidRDefault="00FE517C" w:rsidP="00B22D64">
      <w:pPr>
        <w:ind w:firstLine="720"/>
        <w:jc w:val="both"/>
      </w:pPr>
      <w:r>
        <w:t xml:space="preserve">On </w:t>
      </w:r>
      <w:r w:rsidR="007143CC">
        <w:t>March 24, 2026</w:t>
      </w:r>
      <w:r w:rsidR="008D1A07">
        <w:t xml:space="preserve">, </w:t>
      </w:r>
      <w:r w:rsidR="008D1A07" w:rsidRPr="00EB5771">
        <w:t xml:space="preserve">the </w:t>
      </w:r>
      <w:r w:rsidR="007143CC">
        <w:t>Environmental Defense Fund (EDF</w:t>
      </w:r>
      <w:r w:rsidR="008D1A07" w:rsidRPr="00EB5771">
        <w:t xml:space="preserve">) </w:t>
      </w:r>
      <w:r>
        <w:t xml:space="preserve">filed a </w:t>
      </w:r>
      <w:r w:rsidR="004B447E">
        <w:t>M</w:t>
      </w:r>
      <w:r>
        <w:t xml:space="preserve">otion to </w:t>
      </w:r>
      <w:r w:rsidR="004B447E">
        <w:t>I</w:t>
      </w:r>
      <w:r w:rsidR="008D1A07" w:rsidRPr="00EB5771">
        <w:t>ntervene</w:t>
      </w:r>
      <w:r w:rsidR="001F7583">
        <w:t>.</w:t>
      </w:r>
      <w:r w:rsidR="00164B72">
        <w:rPr>
          <w:rStyle w:val="FootnoteReference"/>
        </w:rPr>
        <w:footnoteReference w:id="1"/>
      </w:r>
      <w:r w:rsidR="001F7583">
        <w:t xml:space="preserve"> </w:t>
      </w:r>
      <w:r w:rsidR="008D4C2E">
        <w:t xml:space="preserve">According to its Motion, EDF is </w:t>
      </w:r>
      <w:r w:rsidR="00917A5A">
        <w:t>a not-for-profit corporation incorporated in</w:t>
      </w:r>
      <w:r w:rsidR="00274D9B">
        <w:t xml:space="preserve"> the State of</w:t>
      </w:r>
      <w:r w:rsidR="00917A5A">
        <w:t xml:space="preserve"> New York and </w:t>
      </w:r>
      <w:r w:rsidR="00451698">
        <w:t xml:space="preserve">is </w:t>
      </w:r>
      <w:r w:rsidR="00917A5A">
        <w:t xml:space="preserve">registered to do business in Florida. </w:t>
      </w:r>
      <w:r w:rsidR="005C515E">
        <w:t xml:space="preserve">EDF alleges that it has 16,769 members in Florida, many of whom receive retail electric service from FPL. </w:t>
      </w:r>
      <w:r w:rsidR="00451698">
        <w:t xml:space="preserve">As such, EDF contends that the substantial interests of </w:t>
      </w:r>
      <w:r w:rsidR="007249DA">
        <w:t>those</w:t>
      </w:r>
      <w:r w:rsidR="00451698">
        <w:t xml:space="preserve"> members </w:t>
      </w:r>
      <w:r w:rsidR="007249DA">
        <w:t xml:space="preserve">who are FPL retail customers </w:t>
      </w:r>
      <w:r w:rsidR="00451698">
        <w:t>will be directly affected by the Florida Public Service Commission’s (Commission</w:t>
      </w:r>
      <w:r w:rsidR="007E6028">
        <w:t>) decisions in this proceeding.</w:t>
      </w:r>
      <w:r w:rsidR="00797BC8">
        <w:t xml:space="preserve"> </w:t>
      </w:r>
      <w:r w:rsidR="00917A5A">
        <w:t xml:space="preserve">EDF </w:t>
      </w:r>
      <w:r w:rsidR="007F4D44">
        <w:t>also</w:t>
      </w:r>
      <w:r w:rsidR="00C15467">
        <w:t xml:space="preserve"> </w:t>
      </w:r>
      <w:r w:rsidR="00797BC8">
        <w:t>asserts that, consistent with its organizational mission, it actively participates in regulatory proceedings to advance a clean, reliable, affordable, and resilient energy supply system</w:t>
      </w:r>
      <w:r w:rsidR="00220239">
        <w:t xml:space="preserve">, as well as supports comprehensive grid modernization, robust grid planning for extreme weather resilience, and protecting ratepayers from the stranded asset costs associated with expansion of unnecessary natural gas infrastructure. </w:t>
      </w:r>
      <w:r w:rsidR="00B10986">
        <w:t xml:space="preserve">Finally, EDF </w:t>
      </w:r>
      <w:r w:rsidR="00FB5A39">
        <w:t>avers</w:t>
      </w:r>
      <w:r w:rsidR="00B10986">
        <w:t xml:space="preserve"> that the across-the-board relief it seeks</w:t>
      </w:r>
      <w:r w:rsidR="00911341">
        <w:t>—ensuring the Andytown-Oasis Transmission Lines Project is needed for system reliability and that the project will provide abundant, low-cost electrical energy for Floridians—</w:t>
      </w:r>
      <w:r w:rsidR="00B10986">
        <w:t xml:space="preserve">will apply to all of EDF’s members in the same way, and is </w:t>
      </w:r>
      <w:r w:rsidR="00B5465A">
        <w:t>thus</w:t>
      </w:r>
      <w:r w:rsidR="00B10986">
        <w:t xml:space="preserve"> appropriate for an association to obtain on behalf of its members.</w:t>
      </w:r>
    </w:p>
    <w:p w:rsidR="00B22D64" w:rsidRDefault="00B22D64" w:rsidP="00B22D64">
      <w:pPr>
        <w:jc w:val="both"/>
      </w:pPr>
    </w:p>
    <w:p w:rsidR="008F50C9" w:rsidRDefault="00B22D64" w:rsidP="00B22D64">
      <w:pPr>
        <w:jc w:val="both"/>
      </w:pPr>
      <w:r>
        <w:tab/>
        <w:t xml:space="preserve">Pursuant to Rule 28-106.205, F.A.C., </w:t>
      </w:r>
      <w:r w:rsidR="00D559CF">
        <w:t>“parties may, within 7 days of service of the motion</w:t>
      </w:r>
      <w:r w:rsidR="006B2DC1">
        <w:t xml:space="preserve"> [to intervene]</w:t>
      </w:r>
      <w:r w:rsidR="00D559CF">
        <w:t>, file a response in opposition.”</w:t>
      </w:r>
      <w:r w:rsidR="006B2DC1">
        <w:t xml:space="preserve"> </w:t>
      </w:r>
      <w:r w:rsidR="00F5034F">
        <w:t xml:space="preserve">EDF represents that it conferred with the parties regarding its Motion. </w:t>
      </w:r>
      <w:r w:rsidR="008F50C9">
        <w:t xml:space="preserve">FPL </w:t>
      </w:r>
      <w:r w:rsidR="006B2DC1">
        <w:t xml:space="preserve">timely </w:t>
      </w:r>
      <w:r w:rsidR="008F50C9">
        <w:t xml:space="preserve">filed a Response </w:t>
      </w:r>
      <w:r w:rsidR="00364EA1">
        <w:t xml:space="preserve">to the Motion on March 27, 2026, indicating it takes no position: (1) pending EDF’s responses to discovery in this docket; and (2) subject to EDF’s proof of standing or stipulations in this docket that are sufficient to support all elements of </w:t>
      </w:r>
      <w:r w:rsidR="00364EA1">
        <w:lastRenderedPageBreak/>
        <w:t>standing.</w:t>
      </w:r>
      <w:r w:rsidR="00164B72">
        <w:rPr>
          <w:rStyle w:val="FootnoteReference"/>
        </w:rPr>
        <w:footnoteReference w:id="2"/>
      </w:r>
      <w:r w:rsidR="00364EA1">
        <w:t xml:space="preserve"> The Office of Public Counsel t</w:t>
      </w:r>
      <w:r w:rsidR="00F5034F">
        <w:t>ook no position on EDF’s Motion and t</w:t>
      </w:r>
      <w:r w:rsidR="00B5465A">
        <w:t xml:space="preserve">he time to file a response </w:t>
      </w:r>
      <w:r>
        <w:t xml:space="preserve">in opposition </w:t>
      </w:r>
      <w:r w:rsidR="00F5034F">
        <w:t>has expired.</w:t>
      </w:r>
    </w:p>
    <w:p w:rsidR="00693B38" w:rsidRDefault="00693B38" w:rsidP="00B22D64">
      <w:pPr>
        <w:jc w:val="both"/>
      </w:pPr>
    </w:p>
    <w:p w:rsidR="008D1A07" w:rsidRPr="00173CF1" w:rsidRDefault="008D1A07" w:rsidP="008D1A07">
      <w:pPr>
        <w:jc w:val="both"/>
        <w:rPr>
          <w:u w:val="single"/>
        </w:rPr>
      </w:pPr>
      <w:r w:rsidRPr="00173CF1">
        <w:rPr>
          <w:u w:val="single"/>
        </w:rPr>
        <w:t>Standards for Intervention</w:t>
      </w:r>
    </w:p>
    <w:p w:rsidR="008D1A07" w:rsidRDefault="008D1A07" w:rsidP="008D1A07">
      <w:pPr>
        <w:jc w:val="both"/>
      </w:pPr>
    </w:p>
    <w:p w:rsidR="008D1A07" w:rsidRDefault="008D1A07" w:rsidP="008D1A07">
      <w:pPr>
        <w:ind w:firstLine="720"/>
        <w:jc w:val="both"/>
      </w:pPr>
      <w:r>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8D1A07" w:rsidRDefault="008D1A07" w:rsidP="008D1A07">
      <w:pPr>
        <w:ind w:firstLine="720"/>
        <w:jc w:val="both"/>
      </w:pPr>
    </w:p>
    <w:p w:rsidR="008D1A07" w:rsidRDefault="007D6A42" w:rsidP="008D1A07">
      <w:pPr>
        <w:ind w:firstLine="720"/>
        <w:jc w:val="both"/>
      </w:pPr>
      <w:r>
        <w:t>For an association like EDF t</w:t>
      </w:r>
      <w:r w:rsidR="008D1A07">
        <w:t>o have standing</w:t>
      </w:r>
      <w:r w:rsidR="006B484D">
        <w:t xml:space="preserve"> to intervene in an administrative proceeding on behalf of its members</w:t>
      </w:r>
      <w:r w:rsidR="008D1A07">
        <w:t xml:space="preserve">, the intervenor must meet the three-prong standing test set forth in </w:t>
      </w:r>
      <w:r w:rsidR="008D1A07" w:rsidRPr="00194254">
        <w:rPr>
          <w:i/>
        </w:rPr>
        <w:t>Florida Home Builders Association v. Department of Labor and Employment Security</w:t>
      </w:r>
      <w:r w:rsidR="00194254">
        <w:t>, 412 So. 2d 351, 353–</w:t>
      </w:r>
      <w:r w:rsidR="008D1A07">
        <w:t xml:space="preserve">54 (Fla. 1982), and </w:t>
      </w:r>
      <w:r w:rsidR="008D1A07" w:rsidRPr="00194254">
        <w:rPr>
          <w:i/>
        </w:rPr>
        <w:t>Farmworker Rights Organization, Inc. v. Department of Health and Rehabilitative Services</w:t>
      </w:r>
      <w:r w:rsidR="008D1A07">
        <w:t xml:space="preserve">, 417 So. 2d 753, 754 (Fla. 1st DCA 1982), which is based on the basic standing principles established in </w:t>
      </w:r>
      <w:r w:rsidR="008D1A07" w:rsidRPr="00AB3534">
        <w:rPr>
          <w:i/>
        </w:rPr>
        <w:t>Agrico Chemical Company v. Department of Environmental Regulation</w:t>
      </w:r>
      <w:r w:rsidR="00AB3534">
        <w:t>, 406 So. 2d 478, 481–</w:t>
      </w:r>
      <w:r w:rsidR="008D1A07">
        <w:t>82 (Fla. 2d DCA 1981).</w:t>
      </w:r>
      <w:r w:rsidR="008D1A07">
        <w:rPr>
          <w:rStyle w:val="FootnoteReference"/>
        </w:rPr>
        <w:footnoteReference w:id="3"/>
      </w:r>
      <w:r w:rsidR="008D1A07">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008D1A07" w:rsidRPr="00E718EA">
        <w:rPr>
          <w:i/>
        </w:rPr>
        <w:t>Fla. Home Builders</w:t>
      </w:r>
      <w:r w:rsidR="00E718EA">
        <w:t>, 412 So. 2d at 353–</w:t>
      </w:r>
      <w:r w:rsidR="008D1A07">
        <w:t xml:space="preserve">54; </w:t>
      </w:r>
      <w:r w:rsidR="008D1A07" w:rsidRPr="00E718EA">
        <w:rPr>
          <w:i/>
        </w:rPr>
        <w:t>Farmworker Rights Org.</w:t>
      </w:r>
      <w:r w:rsidR="008D1A07">
        <w:t>,</w:t>
      </w:r>
      <w:r w:rsidR="00AB3534">
        <w:t xml:space="preserve"> </w:t>
      </w:r>
      <w:r w:rsidR="008D1A07">
        <w:t>417 So. 2d at 754.</w:t>
      </w:r>
    </w:p>
    <w:p w:rsidR="00AB3534" w:rsidRDefault="00AB3534" w:rsidP="00AB3534">
      <w:pPr>
        <w:jc w:val="both"/>
      </w:pPr>
    </w:p>
    <w:p w:rsidR="00AB3534" w:rsidRPr="00AB3534" w:rsidRDefault="00AB3534" w:rsidP="00AB3534">
      <w:pPr>
        <w:jc w:val="both"/>
        <w:rPr>
          <w:u w:val="single"/>
        </w:rPr>
      </w:pPr>
      <w:r w:rsidRPr="00AB3534">
        <w:rPr>
          <w:u w:val="single"/>
        </w:rPr>
        <w:t xml:space="preserve">Analysis </w:t>
      </w:r>
      <w:r w:rsidR="002C2C51">
        <w:rPr>
          <w:u w:val="single"/>
        </w:rPr>
        <w:t>and</w:t>
      </w:r>
      <w:r w:rsidRPr="00AB3534">
        <w:rPr>
          <w:u w:val="single"/>
        </w:rPr>
        <w:t xml:space="preserve"> Ruling</w:t>
      </w:r>
    </w:p>
    <w:p w:rsidR="008D1A07" w:rsidRDefault="008D1A07" w:rsidP="002C2C51">
      <w:pPr>
        <w:jc w:val="both"/>
      </w:pPr>
    </w:p>
    <w:p w:rsidR="002C2C51" w:rsidRDefault="002C2C51" w:rsidP="002C2C51">
      <w:pPr>
        <w:jc w:val="both"/>
      </w:pPr>
      <w:r>
        <w:tab/>
        <w:t xml:space="preserve">“In determining whether a party has standing to seek a formal administrative hearing, the allegations contained in the party’s petition must be taken as true.” </w:t>
      </w:r>
      <w:r w:rsidRPr="001375F2">
        <w:rPr>
          <w:i/>
        </w:rPr>
        <w:t xml:space="preserve">Mid-Chattahoochee River Users v. Fla. Dep’t of </w:t>
      </w:r>
      <w:r w:rsidR="00853EC5">
        <w:rPr>
          <w:i/>
        </w:rPr>
        <w:t>Envtl.</w:t>
      </w:r>
      <w:r w:rsidRPr="001375F2">
        <w:rPr>
          <w:i/>
        </w:rPr>
        <w:t xml:space="preserve"> Prot.</w:t>
      </w:r>
      <w:r>
        <w:t xml:space="preserve">, 948 So. 2d 794, 796 (Fla. 1st DCA 2006). Taken as true, EDF’s allegations appear sufficient to support all elements of associational standing under </w:t>
      </w:r>
      <w:r w:rsidRPr="006C4C42">
        <w:rPr>
          <w:i/>
        </w:rPr>
        <w:t>Florida Home Builders</w:t>
      </w:r>
      <w:r>
        <w:t>. Therefore, EDF’s Motion</w:t>
      </w:r>
      <w:r w:rsidR="006C4C42">
        <w:t xml:space="preserve"> to Intervene shall be granted, subject to proof of standing or stipulations that there are sufficient facts to support all elements for standing. </w:t>
      </w:r>
      <w:r w:rsidR="006C4C42" w:rsidRPr="00C305F1">
        <w:rPr>
          <w:i/>
        </w:rPr>
        <w:t>See Delgado v. Agency for Health Care Admin.</w:t>
      </w:r>
      <w:r w:rsidR="006C4C42">
        <w:t xml:space="preserve">, 237 So. 3d 432, 437 (Fla. 1st DCA 2018) </w:t>
      </w:r>
      <w:r w:rsidR="006C4C42">
        <w:lastRenderedPageBreak/>
        <w:t>(</w:t>
      </w:r>
      <w:r w:rsidR="002C5C98">
        <w:t xml:space="preserve">recognizing that </w:t>
      </w:r>
      <w:r w:rsidR="006C4C42">
        <w:t>proper pretrial stipulations to the facts supporting all elements of standing are binding upon the parties and the court).</w:t>
      </w:r>
    </w:p>
    <w:p w:rsidR="008D1A07" w:rsidRDefault="008D1A07" w:rsidP="008D1A07">
      <w:pPr>
        <w:ind w:firstLine="720"/>
        <w:jc w:val="both"/>
      </w:pPr>
    </w:p>
    <w:p w:rsidR="008D1A07" w:rsidRPr="00826D5E" w:rsidRDefault="008D1A07" w:rsidP="008D1A07">
      <w:pPr>
        <w:jc w:val="both"/>
      </w:pPr>
      <w:r w:rsidRPr="00826D5E">
        <w:tab/>
      </w:r>
      <w:r>
        <w:t>Based on the above representations,</w:t>
      </w:r>
      <w:r w:rsidRPr="00826D5E">
        <w:t xml:space="preserve"> it is</w:t>
      </w:r>
    </w:p>
    <w:p w:rsidR="008D1A07" w:rsidRPr="00826D5E" w:rsidRDefault="008D1A07" w:rsidP="00332935">
      <w:pPr>
        <w:jc w:val="both"/>
      </w:pPr>
    </w:p>
    <w:p w:rsidR="008D1A07" w:rsidRDefault="008D1A07" w:rsidP="00332935">
      <w:pPr>
        <w:ind w:firstLine="720"/>
        <w:jc w:val="both"/>
      </w:pPr>
      <w:r>
        <w:t xml:space="preserve">ORDERED by Commissioner </w:t>
      </w:r>
      <w:r w:rsidR="00637AC1">
        <w:t>Bobby Payne</w:t>
      </w:r>
      <w:r>
        <w:t xml:space="preserve">, as Prehearing Officer, that the Motion to Intervene filed by </w:t>
      </w:r>
      <w:r w:rsidR="00637AC1">
        <w:t>Environmental Defense Fund</w:t>
      </w:r>
      <w:r>
        <w:t xml:space="preserve"> is hereby </w:t>
      </w:r>
      <w:r w:rsidR="00AC0474">
        <w:t xml:space="preserve">provisionally </w:t>
      </w:r>
      <w:r>
        <w:t>granted as set forth in the body of this Order. It is further</w:t>
      </w:r>
    </w:p>
    <w:p w:rsidR="008D1A07" w:rsidRDefault="008D1A07" w:rsidP="00332935">
      <w:pPr>
        <w:ind w:firstLine="720"/>
        <w:jc w:val="both"/>
      </w:pPr>
    </w:p>
    <w:p w:rsidR="008D1A07" w:rsidRDefault="008D1A07" w:rsidP="00332935">
      <w:pPr>
        <w:ind w:firstLine="720"/>
        <w:jc w:val="both"/>
      </w:pPr>
      <w:r>
        <w:t xml:space="preserve">ORDERED that </w:t>
      </w:r>
      <w:r w:rsidR="00637AC1">
        <w:t xml:space="preserve">Environmental Defense Fund </w:t>
      </w:r>
      <w:r>
        <w:t xml:space="preserve">takes the case as it finds it. It is further </w:t>
      </w:r>
    </w:p>
    <w:p w:rsidR="008D1A07" w:rsidRDefault="008D1A07" w:rsidP="00332935">
      <w:pPr>
        <w:ind w:firstLine="720"/>
        <w:jc w:val="both"/>
      </w:pPr>
    </w:p>
    <w:p w:rsidR="008D1A07" w:rsidRDefault="008D1A07" w:rsidP="00332935">
      <w:pPr>
        <w:ind w:firstLine="720"/>
        <w:jc w:val="both"/>
      </w:pPr>
      <w:r>
        <w:t>ORDERED that all parties to this proceeding shall furnish copies of all testimony, exhibits, pleadings, and other documents which may hereinafter be filed in this proceeding to:</w:t>
      </w:r>
    </w:p>
    <w:p w:rsidR="008D1A07" w:rsidRDefault="008D1A07" w:rsidP="00332935">
      <w:pPr>
        <w:ind w:firstLine="720"/>
        <w:jc w:val="both"/>
      </w:pPr>
    </w:p>
    <w:p w:rsidR="00600E28" w:rsidRDefault="00600E28" w:rsidP="00600E28">
      <w:pPr>
        <w:ind w:left="720"/>
        <w:jc w:val="both"/>
      </w:pPr>
      <w:r>
        <w:t>Robert Scheffel Wright, Esq.</w:t>
      </w:r>
    </w:p>
    <w:p w:rsidR="00600E28" w:rsidRDefault="000E06D1" w:rsidP="00600E28">
      <w:pPr>
        <w:ind w:left="720"/>
        <w:jc w:val="both"/>
      </w:pPr>
      <w:hyperlink r:id="rId6" w:history="1">
        <w:r w:rsidR="00600E28" w:rsidRPr="005B5E5E">
          <w:rPr>
            <w:rStyle w:val="Hyperlink"/>
          </w:rPr>
          <w:t>schef@gbkwlaw.com</w:t>
        </w:r>
      </w:hyperlink>
      <w:r w:rsidR="00600E28">
        <w:t xml:space="preserve"> </w:t>
      </w:r>
    </w:p>
    <w:p w:rsidR="00600E28" w:rsidRDefault="00600E28" w:rsidP="00600E28">
      <w:pPr>
        <w:ind w:left="720"/>
        <w:jc w:val="both"/>
      </w:pPr>
      <w:r>
        <w:t>John T. LaVia, III, Esq.</w:t>
      </w:r>
    </w:p>
    <w:p w:rsidR="00600E28" w:rsidRDefault="000E06D1" w:rsidP="00600E28">
      <w:pPr>
        <w:ind w:left="720"/>
        <w:jc w:val="both"/>
      </w:pPr>
      <w:hyperlink r:id="rId7" w:history="1">
        <w:r w:rsidR="00600E28" w:rsidRPr="005B5E5E">
          <w:rPr>
            <w:rStyle w:val="Hyperlink"/>
          </w:rPr>
          <w:t>jlavia@gbkwlaw.com</w:t>
        </w:r>
      </w:hyperlink>
      <w:r w:rsidR="00600E28">
        <w:t xml:space="preserve"> </w:t>
      </w:r>
    </w:p>
    <w:p w:rsidR="00600E28" w:rsidRDefault="00600E28" w:rsidP="00600E28">
      <w:pPr>
        <w:ind w:left="720"/>
        <w:jc w:val="both"/>
      </w:pPr>
      <w:r>
        <w:t>Gardner Bist King &amp; Wood</w:t>
      </w:r>
    </w:p>
    <w:p w:rsidR="00600E28" w:rsidRDefault="00600E28" w:rsidP="00600E28">
      <w:pPr>
        <w:ind w:left="720"/>
        <w:jc w:val="both"/>
      </w:pPr>
      <w:r>
        <w:t>1300 Thomaswood Drive</w:t>
      </w:r>
    </w:p>
    <w:p w:rsidR="00600E28" w:rsidRDefault="00600E28" w:rsidP="00600E28">
      <w:pPr>
        <w:ind w:left="720"/>
        <w:jc w:val="both"/>
      </w:pPr>
      <w:r>
        <w:t>Tallahassee, Florida 32308</w:t>
      </w:r>
    </w:p>
    <w:p w:rsidR="008D1A07" w:rsidRDefault="00600E28" w:rsidP="00600E28">
      <w:pPr>
        <w:ind w:left="720"/>
        <w:jc w:val="both"/>
      </w:pPr>
      <w:r>
        <w:t>Telephone: (850) 385-0070</w:t>
      </w:r>
    </w:p>
    <w:p w:rsidR="00600E28" w:rsidRDefault="00600E28" w:rsidP="00600E28">
      <w:pPr>
        <w:jc w:val="both"/>
      </w:pPr>
    </w:p>
    <w:p w:rsidR="00D32A55" w:rsidRDefault="00D32A55" w:rsidP="00D32A55">
      <w:pPr>
        <w:keepNext/>
        <w:keepLines/>
        <w:jc w:val="both"/>
      </w:pPr>
      <w:r>
        <w:tab/>
        <w:t xml:space="preserve">By ORDER of Commissioner Bobby Payne, as Prehearing Officer, this </w:t>
      </w:r>
      <w:bookmarkStart w:id="5" w:name="replaceDate"/>
      <w:bookmarkEnd w:id="5"/>
      <w:r w:rsidR="00AF50F4">
        <w:rPr>
          <w:u w:val="single"/>
        </w:rPr>
        <w:t>3rd</w:t>
      </w:r>
      <w:r w:rsidR="00AF50F4">
        <w:t xml:space="preserve"> day of </w:t>
      </w:r>
      <w:r w:rsidR="00AF50F4">
        <w:rPr>
          <w:u w:val="single"/>
        </w:rPr>
        <w:t>April</w:t>
      </w:r>
      <w:r w:rsidR="00AF50F4">
        <w:t xml:space="preserve">, </w:t>
      </w:r>
      <w:r w:rsidR="00AF50F4">
        <w:rPr>
          <w:u w:val="single"/>
        </w:rPr>
        <w:t>2026</w:t>
      </w:r>
      <w:r w:rsidR="00AF50F4">
        <w:t>.</w:t>
      </w:r>
    </w:p>
    <w:p w:rsidR="00AF50F4" w:rsidRPr="00AF50F4" w:rsidRDefault="00AF50F4" w:rsidP="00D32A55">
      <w:pPr>
        <w:keepNext/>
        <w:keepLines/>
        <w:jc w:val="both"/>
      </w:pPr>
    </w:p>
    <w:p w:rsidR="00D32A55" w:rsidRDefault="00D32A55" w:rsidP="00D32A55">
      <w:pPr>
        <w:keepNext/>
        <w:keepLines/>
        <w:jc w:val="both"/>
      </w:pPr>
    </w:p>
    <w:p w:rsidR="00C01BEC" w:rsidRDefault="00C01BEC" w:rsidP="00D32A55">
      <w:pPr>
        <w:keepNext/>
        <w:keepLines/>
        <w:jc w:val="both"/>
      </w:pPr>
    </w:p>
    <w:p w:rsidR="00D32A55" w:rsidRDefault="00D32A55" w:rsidP="00D32A5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32A55" w:rsidTr="00D32A55">
        <w:tc>
          <w:tcPr>
            <w:tcW w:w="720" w:type="dxa"/>
            <w:shd w:val="clear" w:color="auto" w:fill="auto"/>
          </w:tcPr>
          <w:p w:rsidR="00D32A55" w:rsidRDefault="00D32A55" w:rsidP="00D32A55">
            <w:pPr>
              <w:keepNext/>
              <w:keepLines/>
              <w:jc w:val="both"/>
            </w:pPr>
            <w:bookmarkStart w:id="6" w:name="bkmrkSignature" w:colFirst="0" w:colLast="0"/>
          </w:p>
        </w:tc>
        <w:tc>
          <w:tcPr>
            <w:tcW w:w="4320" w:type="dxa"/>
            <w:tcBorders>
              <w:bottom w:val="single" w:sz="4" w:space="0" w:color="auto"/>
            </w:tcBorders>
            <w:shd w:val="clear" w:color="auto" w:fill="auto"/>
          </w:tcPr>
          <w:p w:rsidR="00D32A55" w:rsidRDefault="000E06D1" w:rsidP="00D32A55">
            <w:pPr>
              <w:keepNext/>
              <w:keepLines/>
              <w:jc w:val="both"/>
            </w:pPr>
            <w:r>
              <w:t>/s/ Bobby Payne</w:t>
            </w:r>
            <w:bookmarkStart w:id="7" w:name="_GoBack"/>
            <w:bookmarkEnd w:id="7"/>
          </w:p>
        </w:tc>
      </w:tr>
      <w:bookmarkEnd w:id="6"/>
      <w:tr w:rsidR="00D32A55" w:rsidTr="00D32A55">
        <w:tc>
          <w:tcPr>
            <w:tcW w:w="720" w:type="dxa"/>
            <w:shd w:val="clear" w:color="auto" w:fill="auto"/>
          </w:tcPr>
          <w:p w:rsidR="00D32A55" w:rsidRDefault="00D32A55" w:rsidP="00D32A55">
            <w:pPr>
              <w:keepNext/>
              <w:keepLines/>
              <w:jc w:val="both"/>
            </w:pPr>
          </w:p>
        </w:tc>
        <w:tc>
          <w:tcPr>
            <w:tcW w:w="4320" w:type="dxa"/>
            <w:tcBorders>
              <w:top w:val="single" w:sz="4" w:space="0" w:color="auto"/>
            </w:tcBorders>
            <w:shd w:val="clear" w:color="auto" w:fill="auto"/>
          </w:tcPr>
          <w:p w:rsidR="00D32A55" w:rsidRDefault="00D32A55" w:rsidP="00D32A55">
            <w:pPr>
              <w:keepNext/>
              <w:keepLines/>
              <w:jc w:val="both"/>
            </w:pPr>
            <w:r>
              <w:t>BOBBY PAYNE</w:t>
            </w:r>
          </w:p>
          <w:p w:rsidR="00D32A55" w:rsidRDefault="00D32A55" w:rsidP="00D32A55">
            <w:pPr>
              <w:keepNext/>
              <w:keepLines/>
              <w:jc w:val="both"/>
            </w:pPr>
            <w:r>
              <w:t>Commissioner and Prehearing Officer</w:t>
            </w:r>
          </w:p>
        </w:tc>
      </w:tr>
    </w:tbl>
    <w:p w:rsidR="00D32A55" w:rsidRDefault="00D32A55" w:rsidP="00D32A55">
      <w:pPr>
        <w:pStyle w:val="OrderSigInfo"/>
        <w:keepNext/>
        <w:keepLines/>
      </w:pPr>
      <w:r>
        <w:t>Florida Public Service Commission</w:t>
      </w:r>
    </w:p>
    <w:p w:rsidR="00D32A55" w:rsidRDefault="00D32A55" w:rsidP="00D32A55">
      <w:pPr>
        <w:pStyle w:val="OrderSigInfo"/>
        <w:keepNext/>
        <w:keepLines/>
      </w:pPr>
      <w:r>
        <w:t>2540 Shumard Oak Boulevard</w:t>
      </w:r>
    </w:p>
    <w:p w:rsidR="00D32A55" w:rsidRDefault="00D32A55" w:rsidP="00D32A55">
      <w:pPr>
        <w:pStyle w:val="OrderSigInfo"/>
        <w:keepNext/>
        <w:keepLines/>
      </w:pPr>
      <w:r>
        <w:t>Tallahassee, Florida 32399</w:t>
      </w:r>
    </w:p>
    <w:p w:rsidR="00D32A55" w:rsidRDefault="00D32A55" w:rsidP="00D32A55">
      <w:pPr>
        <w:pStyle w:val="OrderSigInfo"/>
        <w:keepNext/>
        <w:keepLines/>
      </w:pPr>
      <w:r>
        <w:t>(850) 413</w:t>
      </w:r>
      <w:r>
        <w:noBreakHyphen/>
        <w:t>6770</w:t>
      </w:r>
    </w:p>
    <w:p w:rsidR="00D32A55" w:rsidRDefault="00D32A55" w:rsidP="00D32A55">
      <w:pPr>
        <w:pStyle w:val="OrderSigInfo"/>
        <w:keepNext/>
        <w:keepLines/>
      </w:pPr>
      <w:r>
        <w:t>www.floridapsc.com</w:t>
      </w:r>
    </w:p>
    <w:p w:rsidR="00D32A55" w:rsidRDefault="00D32A55" w:rsidP="00D32A55">
      <w:pPr>
        <w:pStyle w:val="OrderSigInfo"/>
        <w:keepNext/>
        <w:keepLines/>
      </w:pPr>
    </w:p>
    <w:p w:rsidR="00D32A55" w:rsidRDefault="00D32A55" w:rsidP="00D32A55">
      <w:pPr>
        <w:pStyle w:val="OrderSigInfo"/>
        <w:keepNext/>
        <w:keepLines/>
      </w:pPr>
      <w:r>
        <w:t>Copies furnished: A copy of this document is provided to the parties of record at the time of issuance and, if applicable, interested persons.</w:t>
      </w:r>
    </w:p>
    <w:p w:rsidR="00D32A55" w:rsidRDefault="00D32A55" w:rsidP="00D32A55">
      <w:pPr>
        <w:pStyle w:val="OrderBody"/>
        <w:keepNext/>
        <w:keepLines/>
      </w:pPr>
    </w:p>
    <w:p w:rsidR="00D32A55" w:rsidRDefault="00D32A55" w:rsidP="00D32A55">
      <w:pPr>
        <w:keepNext/>
        <w:keepLines/>
        <w:jc w:val="both"/>
      </w:pPr>
    </w:p>
    <w:p w:rsidR="00D32A55" w:rsidRDefault="00D32A55" w:rsidP="00D32A55">
      <w:pPr>
        <w:keepNext/>
        <w:keepLines/>
        <w:jc w:val="both"/>
      </w:pPr>
      <w:r>
        <w:t>CMM</w:t>
      </w:r>
    </w:p>
    <w:p w:rsidR="00D32A55" w:rsidRDefault="00D32A55">
      <w:r>
        <w:br w:type="page"/>
      </w:r>
    </w:p>
    <w:p w:rsidR="008D1A07" w:rsidRDefault="008D1A07" w:rsidP="008D1A07">
      <w:pPr>
        <w:pStyle w:val="CenterUnderline"/>
      </w:pPr>
      <w:r>
        <w:lastRenderedPageBreak/>
        <w:t>NOTICE OF FURTHER PROCEEDINGS OR JUDICIAL REVIEW</w:t>
      </w:r>
    </w:p>
    <w:p w:rsidR="008D1A07" w:rsidRDefault="008D1A07" w:rsidP="008D1A07">
      <w:pPr>
        <w:pStyle w:val="CenterUnderline"/>
      </w:pPr>
    </w:p>
    <w:p w:rsidR="008D1A07" w:rsidRDefault="008D1A07" w:rsidP="008D1A0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D1A07" w:rsidRDefault="008D1A07" w:rsidP="008D1A07">
      <w:pPr>
        <w:pStyle w:val="OrderBody"/>
      </w:pPr>
    </w:p>
    <w:p w:rsidR="008D1A07" w:rsidRDefault="008D1A07" w:rsidP="008D1A07">
      <w:pPr>
        <w:pStyle w:val="OrderBody"/>
      </w:pPr>
      <w:r>
        <w:tab/>
        <w:t xml:space="preserve">Mediation may be available on a case-by-case basis. If mediation is conducted, it does not affect a </w:t>
      </w:r>
      <w:r w:rsidR="00E308B6">
        <w:t>substantially interested person’</w:t>
      </w:r>
      <w:r>
        <w:t>s right to a hearing.</w:t>
      </w:r>
    </w:p>
    <w:p w:rsidR="008D1A07" w:rsidRDefault="008D1A07" w:rsidP="008D1A07">
      <w:pPr>
        <w:pStyle w:val="OrderBody"/>
      </w:pPr>
    </w:p>
    <w:p w:rsidR="008D1A07" w:rsidRDefault="008D1A07" w:rsidP="008D1A07">
      <w:pPr>
        <w:pStyle w:val="OrderBody"/>
      </w:pPr>
      <w:r>
        <w:tab/>
        <w:t>Any party adversely affected by this order, which is preliminary, procedural</w:t>
      </w:r>
      <w:r w:rsidR="00E308B6">
        <w:t>,</w:t>
      </w:r>
      <w:r>
        <w:t xml:space="preserve"> or intermediate in nature, may request: (1) reconsideration within 10 days pursuant to Rule 25-22.0376, Florida Administrative Code; or (2) judicial review by the Florida Supreme Court, in the case of an electric, gas</w:t>
      </w:r>
      <w:r w:rsidR="00E308B6">
        <w:t>,</w:t>
      </w:r>
      <w:r>
        <w:t xml:space="preserve"> or telephone utility. A motion for reconsideration shall be filed with the Office of Commission Clerk, in the form prescribed by Rule 25-22.0376, Florida Administrative Code. Judicial review of a preliminary, procedural</w:t>
      </w:r>
      <w:r w:rsidR="00E308B6">
        <w:t>,</w:t>
      </w:r>
      <w:r>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8D1A07" w:rsidRDefault="008D1A07" w:rsidP="008D1A07">
      <w:pPr>
        <w:pStyle w:val="OrderBody"/>
      </w:pPr>
    </w:p>
    <w:p w:rsidR="00CB5276" w:rsidRDefault="00CB5276">
      <w:pPr>
        <w:pStyle w:val="OrderBody"/>
      </w:pPr>
      <w:bookmarkStart w:id="8" w:name="OrderText"/>
      <w:bookmarkEnd w:id="8"/>
    </w:p>
    <w:p w:rsidR="00B055D7" w:rsidRDefault="00B055D7">
      <w:pPr>
        <w:pStyle w:val="OrderBody"/>
      </w:pPr>
    </w:p>
    <w:sectPr w:rsidR="00B055D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A07" w:rsidRDefault="008D1A07">
      <w:r>
        <w:separator/>
      </w:r>
    </w:p>
  </w:endnote>
  <w:endnote w:type="continuationSeparator" w:id="0">
    <w:p w:rsidR="008D1A07" w:rsidRDefault="008D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A07" w:rsidRDefault="008D1A07">
      <w:r>
        <w:separator/>
      </w:r>
    </w:p>
  </w:footnote>
  <w:footnote w:type="continuationSeparator" w:id="0">
    <w:p w:rsidR="008D1A07" w:rsidRDefault="008D1A07">
      <w:r>
        <w:continuationSeparator/>
      </w:r>
    </w:p>
  </w:footnote>
  <w:footnote w:id="1">
    <w:p w:rsidR="00BF1E98" w:rsidRDefault="00164B72">
      <w:pPr>
        <w:pStyle w:val="FootnoteText"/>
      </w:pPr>
      <w:r>
        <w:rPr>
          <w:rStyle w:val="FootnoteReference"/>
        </w:rPr>
        <w:footnoteRef/>
      </w:r>
      <w:r>
        <w:t xml:space="preserve"> </w:t>
      </w:r>
      <w:r w:rsidR="004C5CCE">
        <w:t>Document No. 01737-2026, filed on March 24, 2026.</w:t>
      </w:r>
    </w:p>
  </w:footnote>
  <w:footnote w:id="2">
    <w:p w:rsidR="00164B72" w:rsidRDefault="00164B72">
      <w:pPr>
        <w:pStyle w:val="FootnoteText"/>
      </w:pPr>
      <w:r>
        <w:rPr>
          <w:rStyle w:val="FootnoteReference"/>
        </w:rPr>
        <w:footnoteRef/>
      </w:r>
      <w:r>
        <w:t xml:space="preserve"> </w:t>
      </w:r>
      <w:r w:rsidR="00BF1E98">
        <w:t xml:space="preserve">Document No. </w:t>
      </w:r>
      <w:r w:rsidR="004C5CCE">
        <w:t>018</w:t>
      </w:r>
      <w:r w:rsidR="00C71E37">
        <w:t>1</w:t>
      </w:r>
      <w:r w:rsidR="004C5CCE">
        <w:t>5-2026, filed on March 27, 2026.</w:t>
      </w:r>
    </w:p>
  </w:footnote>
  <w:footnote w:id="3">
    <w:p w:rsidR="008D1A07" w:rsidRDefault="008D1A07" w:rsidP="008D1A07">
      <w:pPr>
        <w:pStyle w:val="FootnoteText"/>
      </w:pPr>
      <w:r>
        <w:rPr>
          <w:rStyle w:val="FootnoteReference"/>
        </w:rPr>
        <w:footnoteRef/>
      </w:r>
      <w:r>
        <w:t xml:space="preserve"> Under </w:t>
      </w:r>
      <w:r w:rsidRPr="002327FD">
        <w:rPr>
          <w:i/>
        </w:rPr>
        <w:t>Agrico</w:t>
      </w:r>
      <w:r>
        <w:t xml:space="preserve">, the </w:t>
      </w:r>
      <w:r w:rsidR="002327FD">
        <w:t xml:space="preserve">individual </w:t>
      </w:r>
      <w:r>
        <w:t xml:space="preserve">intervenor must show that (1) </w:t>
      </w:r>
      <w:r w:rsidR="00692624">
        <w:t>they</w:t>
      </w:r>
      <w:r>
        <w:t xml:space="preserve"> will suffer injury in fact which is of sufficient immediacy to entitle </w:t>
      </w:r>
      <w:r w:rsidR="00692624">
        <w:t>them</w:t>
      </w:r>
      <w:r>
        <w:t xml:space="preserve"> to a Section 120.57, F.S., hearing, and (2) the substantial injury is of a type or nature which the proceeding is designed to protect. The first aspect of the test deals with the degree of injury. The second deals with the nature of the injury. </w:t>
      </w:r>
      <w:r w:rsidR="00692624" w:rsidRPr="00692624">
        <w:rPr>
          <w:i/>
        </w:rPr>
        <w:t>Agrico</w:t>
      </w:r>
      <w:r w:rsidR="00692624">
        <w:t xml:space="preserve">, </w:t>
      </w:r>
      <w:r>
        <w:t xml:space="preserve">406 So. 2d 478 at 482. </w:t>
      </w:r>
      <w:r w:rsidR="00692624">
        <w:t>The “injury in fact”</w:t>
      </w:r>
      <w:r>
        <w:t xml:space="preserve"> must be both real and immediate and not speculative or conjectural. </w:t>
      </w:r>
      <w:r w:rsidR="00692624" w:rsidRPr="00692624">
        <w:rPr>
          <w:i/>
        </w:rPr>
        <w:t xml:space="preserve">Int’l </w:t>
      </w:r>
      <w:r w:rsidRPr="00692624">
        <w:rPr>
          <w:i/>
        </w:rPr>
        <w:t>Jai-Alai Players Ass</w:t>
      </w:r>
      <w:r w:rsidR="00692624" w:rsidRPr="00692624">
        <w:rPr>
          <w:i/>
        </w:rPr>
        <w:t>’</w:t>
      </w:r>
      <w:r w:rsidRPr="00692624">
        <w:rPr>
          <w:i/>
        </w:rPr>
        <w:t xml:space="preserve">n v. </w:t>
      </w:r>
      <w:r w:rsidR="00692624" w:rsidRPr="00692624">
        <w:rPr>
          <w:i/>
        </w:rPr>
        <w:t>Fla.</w:t>
      </w:r>
      <w:r w:rsidRPr="00692624">
        <w:rPr>
          <w:i/>
        </w:rPr>
        <w:t xml:space="preserve"> Pari-Mutuel </w:t>
      </w:r>
      <w:r w:rsidR="00692624" w:rsidRPr="00692624">
        <w:rPr>
          <w:i/>
        </w:rPr>
        <w:t>Comm’n</w:t>
      </w:r>
      <w:r w:rsidR="00692624">
        <w:t xml:space="preserve">, 561 So. 2d 1224, 1225–26 (Fla. 3d DCA 1990); </w:t>
      </w:r>
      <w:r w:rsidR="00692624" w:rsidRPr="00692624">
        <w:rPr>
          <w:i/>
        </w:rPr>
        <w:t>s</w:t>
      </w:r>
      <w:r w:rsidRPr="00692624">
        <w:rPr>
          <w:i/>
        </w:rPr>
        <w:t>ee al</w:t>
      </w:r>
      <w:r w:rsidRPr="00562EC0">
        <w:rPr>
          <w:i/>
        </w:rPr>
        <w:t>so Vill</w:t>
      </w:r>
      <w:r w:rsidR="00562EC0" w:rsidRPr="00562EC0">
        <w:rPr>
          <w:i/>
        </w:rPr>
        <w:t xml:space="preserve">. </w:t>
      </w:r>
      <w:r w:rsidRPr="00562EC0">
        <w:rPr>
          <w:i/>
        </w:rPr>
        <w:t>Park Mobile Home Ass</w:t>
      </w:r>
      <w:r w:rsidR="00562EC0" w:rsidRPr="00562EC0">
        <w:rPr>
          <w:i/>
        </w:rPr>
        <w:t>’</w:t>
      </w:r>
      <w:r w:rsidRPr="00562EC0">
        <w:rPr>
          <w:i/>
        </w:rPr>
        <w:t>n, Inc. v. State Dep</w:t>
      </w:r>
      <w:r w:rsidR="00562EC0" w:rsidRPr="00562EC0">
        <w:rPr>
          <w:i/>
        </w:rPr>
        <w:t>’</w:t>
      </w:r>
      <w:r w:rsidRPr="00562EC0">
        <w:rPr>
          <w:i/>
        </w:rPr>
        <w:t>t of Bus</w:t>
      </w:r>
      <w:r w:rsidR="00562EC0" w:rsidRPr="00562EC0">
        <w:rPr>
          <w:i/>
        </w:rPr>
        <w:t>.</w:t>
      </w:r>
      <w:r w:rsidRPr="00562EC0">
        <w:rPr>
          <w:i/>
        </w:rPr>
        <w:t xml:space="preserve"> Regulation</w:t>
      </w:r>
      <w:r>
        <w:t xml:space="preserve">, 506 So. 2d 426, 434 (Fla. 1st DCA 1987), </w:t>
      </w:r>
      <w:r w:rsidRPr="00562EC0">
        <w:rPr>
          <w:i/>
        </w:rPr>
        <w:t>rev. den</w:t>
      </w:r>
      <w:r w:rsidR="00562EC0" w:rsidRPr="00562EC0">
        <w:rPr>
          <w:i/>
        </w:rPr>
        <w:t>.</w:t>
      </w:r>
      <w:r>
        <w:t>, 513 So. 2d 1063 (Fla. 1987) (</w:t>
      </w:r>
      <w:r w:rsidR="00562EC0">
        <w:t xml:space="preserve">noting </w:t>
      </w:r>
      <w:r>
        <w:t xml:space="preserve">speculation on the possible occurrence of injurious events </w:t>
      </w:r>
      <w:r w:rsidR="00562EC0">
        <w:t>was</w:t>
      </w:r>
      <w:r>
        <w:t xml:space="preserve">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3 ">
      <w:r w:rsidR="000E06D1">
        <w:t>PSC-2026-0083-PCO-EI</w:t>
      </w:r>
    </w:fldSimple>
  </w:p>
  <w:p w:rsidR="00FA6EFD" w:rsidRDefault="008D1A07">
    <w:pPr>
      <w:pStyle w:val="OrderHeader"/>
    </w:pPr>
    <w:bookmarkStart w:id="9" w:name="HeaderDocketNo"/>
    <w:bookmarkEnd w:id="9"/>
    <w:r>
      <w:t>DOCKET NO. 20260020-EI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06D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20-EI"/>
  </w:docVars>
  <w:rsids>
    <w:rsidRoot w:val="008D1A07"/>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06D1"/>
    <w:rsid w:val="000E20F0"/>
    <w:rsid w:val="000E2593"/>
    <w:rsid w:val="000E2E4E"/>
    <w:rsid w:val="000E344D"/>
    <w:rsid w:val="000E3F6D"/>
    <w:rsid w:val="000F0C25"/>
    <w:rsid w:val="000F11F1"/>
    <w:rsid w:val="000F359F"/>
    <w:rsid w:val="000F3B2C"/>
    <w:rsid w:val="000F3F6C"/>
    <w:rsid w:val="000F48D7"/>
    <w:rsid w:val="000F63EB"/>
    <w:rsid w:val="000F648A"/>
    <w:rsid w:val="000F7BE3"/>
    <w:rsid w:val="00101BA8"/>
    <w:rsid w:val="00103190"/>
    <w:rsid w:val="00104333"/>
    <w:rsid w:val="001052BA"/>
    <w:rsid w:val="0010545B"/>
    <w:rsid w:val="0010572F"/>
    <w:rsid w:val="00107701"/>
    <w:rsid w:val="001107B3"/>
    <w:rsid w:val="001114B1"/>
    <w:rsid w:val="00112D55"/>
    <w:rsid w:val="001139D8"/>
    <w:rsid w:val="00116AD3"/>
    <w:rsid w:val="00121957"/>
    <w:rsid w:val="0012387E"/>
    <w:rsid w:val="0012393B"/>
    <w:rsid w:val="001259EC"/>
    <w:rsid w:val="00126593"/>
    <w:rsid w:val="00126C01"/>
    <w:rsid w:val="00134177"/>
    <w:rsid w:val="00136087"/>
    <w:rsid w:val="001375F2"/>
    <w:rsid w:val="00142A96"/>
    <w:rsid w:val="00146A7F"/>
    <w:rsid w:val="001513DE"/>
    <w:rsid w:val="00154A71"/>
    <w:rsid w:val="00155BED"/>
    <w:rsid w:val="001562B9"/>
    <w:rsid w:val="00161259"/>
    <w:rsid w:val="00162228"/>
    <w:rsid w:val="00164B72"/>
    <w:rsid w:val="001655D4"/>
    <w:rsid w:val="00165803"/>
    <w:rsid w:val="00172E19"/>
    <w:rsid w:val="001846C0"/>
    <w:rsid w:val="00185F09"/>
    <w:rsid w:val="00187E32"/>
    <w:rsid w:val="001918FF"/>
    <w:rsid w:val="00194254"/>
    <w:rsid w:val="00194420"/>
    <w:rsid w:val="00194A97"/>
    <w:rsid w:val="00194E81"/>
    <w:rsid w:val="001A15E7"/>
    <w:rsid w:val="001A1CA7"/>
    <w:rsid w:val="001A33C9"/>
    <w:rsid w:val="001A58F3"/>
    <w:rsid w:val="001B034E"/>
    <w:rsid w:val="001B66AF"/>
    <w:rsid w:val="001C2847"/>
    <w:rsid w:val="001C3BB5"/>
    <w:rsid w:val="001C3F8C"/>
    <w:rsid w:val="001C445C"/>
    <w:rsid w:val="001C4D9C"/>
    <w:rsid w:val="001C5338"/>
    <w:rsid w:val="001C6097"/>
    <w:rsid w:val="001C7126"/>
    <w:rsid w:val="001D008A"/>
    <w:rsid w:val="001D0794"/>
    <w:rsid w:val="001D7777"/>
    <w:rsid w:val="001E0152"/>
    <w:rsid w:val="001E06D4"/>
    <w:rsid w:val="001E0FF5"/>
    <w:rsid w:val="001F0095"/>
    <w:rsid w:val="001F36B0"/>
    <w:rsid w:val="001F4CA3"/>
    <w:rsid w:val="001F59E0"/>
    <w:rsid w:val="001F7583"/>
    <w:rsid w:val="002002ED"/>
    <w:rsid w:val="002044DD"/>
    <w:rsid w:val="002170E5"/>
    <w:rsid w:val="002179AC"/>
    <w:rsid w:val="00220239"/>
    <w:rsid w:val="00220D57"/>
    <w:rsid w:val="00223B99"/>
    <w:rsid w:val="0022721A"/>
    <w:rsid w:val="00230BB9"/>
    <w:rsid w:val="002327FD"/>
    <w:rsid w:val="00233830"/>
    <w:rsid w:val="00236E4C"/>
    <w:rsid w:val="00241CEF"/>
    <w:rsid w:val="0024275D"/>
    <w:rsid w:val="00244000"/>
    <w:rsid w:val="0025124E"/>
    <w:rsid w:val="00252B30"/>
    <w:rsid w:val="00255291"/>
    <w:rsid w:val="002613E4"/>
    <w:rsid w:val="00262C43"/>
    <w:rsid w:val="0026544B"/>
    <w:rsid w:val="00270F89"/>
    <w:rsid w:val="00274D9B"/>
    <w:rsid w:val="00275986"/>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2C51"/>
    <w:rsid w:val="002C3C71"/>
    <w:rsid w:val="002C5C98"/>
    <w:rsid w:val="002C7908"/>
    <w:rsid w:val="002D0328"/>
    <w:rsid w:val="002D10F5"/>
    <w:rsid w:val="002D219D"/>
    <w:rsid w:val="002D2362"/>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935"/>
    <w:rsid w:val="00332B0A"/>
    <w:rsid w:val="00333A41"/>
    <w:rsid w:val="00341036"/>
    <w:rsid w:val="003446F7"/>
    <w:rsid w:val="00345434"/>
    <w:rsid w:val="00351C22"/>
    <w:rsid w:val="0035495B"/>
    <w:rsid w:val="00355A93"/>
    <w:rsid w:val="00360F30"/>
    <w:rsid w:val="00361522"/>
    <w:rsid w:val="0036362B"/>
    <w:rsid w:val="00364EA1"/>
    <w:rsid w:val="0037196E"/>
    <w:rsid w:val="0037442E"/>
    <w:rsid w:val="003744F5"/>
    <w:rsid w:val="00382C6A"/>
    <w:rsid w:val="00382F03"/>
    <w:rsid w:val="00385D0B"/>
    <w:rsid w:val="003875A9"/>
    <w:rsid w:val="00387BDE"/>
    <w:rsid w:val="00390DD8"/>
    <w:rsid w:val="00394DC6"/>
    <w:rsid w:val="00397C3E"/>
    <w:rsid w:val="003A3B17"/>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0624D"/>
    <w:rsid w:val="00411DF2"/>
    <w:rsid w:val="00411E8F"/>
    <w:rsid w:val="00413C01"/>
    <w:rsid w:val="0041412B"/>
    <w:rsid w:val="004173BA"/>
    <w:rsid w:val="004247F5"/>
    <w:rsid w:val="00425154"/>
    <w:rsid w:val="0042527B"/>
    <w:rsid w:val="0042705B"/>
    <w:rsid w:val="00427EAC"/>
    <w:rsid w:val="004431B4"/>
    <w:rsid w:val="00445604"/>
    <w:rsid w:val="00447BDA"/>
    <w:rsid w:val="00451158"/>
    <w:rsid w:val="00451698"/>
    <w:rsid w:val="00451804"/>
    <w:rsid w:val="00453C21"/>
    <w:rsid w:val="0045537F"/>
    <w:rsid w:val="00457978"/>
    <w:rsid w:val="00457DC7"/>
    <w:rsid w:val="004640B3"/>
    <w:rsid w:val="00467A2F"/>
    <w:rsid w:val="00467B0F"/>
    <w:rsid w:val="004704F4"/>
    <w:rsid w:val="00472BCC"/>
    <w:rsid w:val="00474FD3"/>
    <w:rsid w:val="00477699"/>
    <w:rsid w:val="00480710"/>
    <w:rsid w:val="004A25CD"/>
    <w:rsid w:val="004A26CC"/>
    <w:rsid w:val="004B2108"/>
    <w:rsid w:val="004B212A"/>
    <w:rsid w:val="004B3A2B"/>
    <w:rsid w:val="004B447E"/>
    <w:rsid w:val="004B70D3"/>
    <w:rsid w:val="004C0219"/>
    <w:rsid w:val="004C312D"/>
    <w:rsid w:val="004C5CCE"/>
    <w:rsid w:val="004D2C87"/>
    <w:rsid w:val="004D2D1B"/>
    <w:rsid w:val="004D5067"/>
    <w:rsid w:val="004D6838"/>
    <w:rsid w:val="004D72BC"/>
    <w:rsid w:val="004E469D"/>
    <w:rsid w:val="004E7F4F"/>
    <w:rsid w:val="004F03B2"/>
    <w:rsid w:val="004F094F"/>
    <w:rsid w:val="004F0AF7"/>
    <w:rsid w:val="004F2DDE"/>
    <w:rsid w:val="004F3AA8"/>
    <w:rsid w:val="004F4AB5"/>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25B0"/>
    <w:rsid w:val="0055595D"/>
    <w:rsid w:val="00556A10"/>
    <w:rsid w:val="00557F50"/>
    <w:rsid w:val="00562EC0"/>
    <w:rsid w:val="005645FC"/>
    <w:rsid w:val="00571D3D"/>
    <w:rsid w:val="00573194"/>
    <w:rsid w:val="00574379"/>
    <w:rsid w:val="0058264B"/>
    <w:rsid w:val="00583F81"/>
    <w:rsid w:val="005850DF"/>
    <w:rsid w:val="00586368"/>
    <w:rsid w:val="005868AA"/>
    <w:rsid w:val="00590845"/>
    <w:rsid w:val="00592171"/>
    <w:rsid w:val="005944A0"/>
    <w:rsid w:val="00594726"/>
    <w:rsid w:val="005963C2"/>
    <w:rsid w:val="005A0D69"/>
    <w:rsid w:val="005A2CBF"/>
    <w:rsid w:val="005A31F4"/>
    <w:rsid w:val="005A73EA"/>
    <w:rsid w:val="005B45F7"/>
    <w:rsid w:val="005B63EA"/>
    <w:rsid w:val="005C15A7"/>
    <w:rsid w:val="005C1A88"/>
    <w:rsid w:val="005C3AFA"/>
    <w:rsid w:val="005C5033"/>
    <w:rsid w:val="005C515E"/>
    <w:rsid w:val="005D4E1B"/>
    <w:rsid w:val="005D7D43"/>
    <w:rsid w:val="005E323D"/>
    <w:rsid w:val="005E751B"/>
    <w:rsid w:val="005F2751"/>
    <w:rsid w:val="005F3354"/>
    <w:rsid w:val="005F4AD6"/>
    <w:rsid w:val="005F4DEF"/>
    <w:rsid w:val="0060005E"/>
    <w:rsid w:val="0060095B"/>
    <w:rsid w:val="00600E28"/>
    <w:rsid w:val="00601266"/>
    <w:rsid w:val="00605D1C"/>
    <w:rsid w:val="00610221"/>
    <w:rsid w:val="00610543"/>
    <w:rsid w:val="00610E73"/>
    <w:rsid w:val="00615F9B"/>
    <w:rsid w:val="00616DF2"/>
    <w:rsid w:val="0062385D"/>
    <w:rsid w:val="0063168D"/>
    <w:rsid w:val="00633AF3"/>
    <w:rsid w:val="0063406C"/>
    <w:rsid w:val="00635C79"/>
    <w:rsid w:val="00637AC1"/>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624"/>
    <w:rsid w:val="00692E1A"/>
    <w:rsid w:val="00693483"/>
    <w:rsid w:val="00693B38"/>
    <w:rsid w:val="00695682"/>
    <w:rsid w:val="00696892"/>
    <w:rsid w:val="006A0A0A"/>
    <w:rsid w:val="006A0BF3"/>
    <w:rsid w:val="006A502B"/>
    <w:rsid w:val="006B0036"/>
    <w:rsid w:val="006B0DA6"/>
    <w:rsid w:val="006B2DC1"/>
    <w:rsid w:val="006B3FA9"/>
    <w:rsid w:val="006B484D"/>
    <w:rsid w:val="006C3055"/>
    <w:rsid w:val="006C4C42"/>
    <w:rsid w:val="006C547E"/>
    <w:rsid w:val="006C6A11"/>
    <w:rsid w:val="006D1898"/>
    <w:rsid w:val="006D1D2F"/>
    <w:rsid w:val="006D2B51"/>
    <w:rsid w:val="006D5575"/>
    <w:rsid w:val="006D7191"/>
    <w:rsid w:val="006E0394"/>
    <w:rsid w:val="006E21C4"/>
    <w:rsid w:val="006E42BE"/>
    <w:rsid w:val="006E5D4D"/>
    <w:rsid w:val="006E6D16"/>
    <w:rsid w:val="00703F2A"/>
    <w:rsid w:val="0070426E"/>
    <w:rsid w:val="00704C5D"/>
    <w:rsid w:val="007072BC"/>
    <w:rsid w:val="007143CC"/>
    <w:rsid w:val="00715275"/>
    <w:rsid w:val="00721B44"/>
    <w:rsid w:val="007232A2"/>
    <w:rsid w:val="007249DA"/>
    <w:rsid w:val="00726366"/>
    <w:rsid w:val="00726842"/>
    <w:rsid w:val="00731AB6"/>
    <w:rsid w:val="00733B6B"/>
    <w:rsid w:val="00740808"/>
    <w:rsid w:val="00740A1B"/>
    <w:rsid w:val="00742478"/>
    <w:rsid w:val="007443FA"/>
    <w:rsid w:val="007467C4"/>
    <w:rsid w:val="007550C8"/>
    <w:rsid w:val="00755702"/>
    <w:rsid w:val="007560DE"/>
    <w:rsid w:val="0076170F"/>
    <w:rsid w:val="0076669C"/>
    <w:rsid w:val="00766E46"/>
    <w:rsid w:val="00771018"/>
    <w:rsid w:val="00772CCB"/>
    <w:rsid w:val="00774C8A"/>
    <w:rsid w:val="00777193"/>
    <w:rsid w:val="00777727"/>
    <w:rsid w:val="00781087"/>
    <w:rsid w:val="0078166A"/>
    <w:rsid w:val="00782B79"/>
    <w:rsid w:val="00783811"/>
    <w:rsid w:val="007856E4"/>
    <w:rsid w:val="007865E9"/>
    <w:rsid w:val="0079237D"/>
    <w:rsid w:val="00792383"/>
    <w:rsid w:val="00794D5A"/>
    <w:rsid w:val="00794DD9"/>
    <w:rsid w:val="007965EF"/>
    <w:rsid w:val="00797BC8"/>
    <w:rsid w:val="007A060F"/>
    <w:rsid w:val="007A37DC"/>
    <w:rsid w:val="007B1C5E"/>
    <w:rsid w:val="007B350E"/>
    <w:rsid w:val="007C0FBC"/>
    <w:rsid w:val="007C29C9"/>
    <w:rsid w:val="007C35B8"/>
    <w:rsid w:val="007C36E3"/>
    <w:rsid w:val="007C3ABB"/>
    <w:rsid w:val="007C7134"/>
    <w:rsid w:val="007C7ECF"/>
    <w:rsid w:val="007D3D20"/>
    <w:rsid w:val="007D44F9"/>
    <w:rsid w:val="007D6A42"/>
    <w:rsid w:val="007D742E"/>
    <w:rsid w:val="007E3AFD"/>
    <w:rsid w:val="007E542E"/>
    <w:rsid w:val="007E6028"/>
    <w:rsid w:val="007F4D44"/>
    <w:rsid w:val="007F7943"/>
    <w:rsid w:val="00801DAD"/>
    <w:rsid w:val="00803189"/>
    <w:rsid w:val="00804E7A"/>
    <w:rsid w:val="00805FBB"/>
    <w:rsid w:val="00813E3F"/>
    <w:rsid w:val="00814292"/>
    <w:rsid w:val="008169A4"/>
    <w:rsid w:val="00822500"/>
    <w:rsid w:val="008278FE"/>
    <w:rsid w:val="00832598"/>
    <w:rsid w:val="008334D9"/>
    <w:rsid w:val="0083397E"/>
    <w:rsid w:val="00834960"/>
    <w:rsid w:val="0083534B"/>
    <w:rsid w:val="00842035"/>
    <w:rsid w:val="00842602"/>
    <w:rsid w:val="00842F3D"/>
    <w:rsid w:val="00843ACD"/>
    <w:rsid w:val="008449F0"/>
    <w:rsid w:val="00846F11"/>
    <w:rsid w:val="00847B45"/>
    <w:rsid w:val="008524DB"/>
    <w:rsid w:val="00853EC5"/>
    <w:rsid w:val="00863A66"/>
    <w:rsid w:val="008703D7"/>
    <w:rsid w:val="00870D47"/>
    <w:rsid w:val="008715E8"/>
    <w:rsid w:val="0087288F"/>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0256"/>
    <w:rsid w:val="008C21C8"/>
    <w:rsid w:val="008C6375"/>
    <w:rsid w:val="008C6A5B"/>
    <w:rsid w:val="008D1A07"/>
    <w:rsid w:val="008D441D"/>
    <w:rsid w:val="008D498D"/>
    <w:rsid w:val="008D4C2E"/>
    <w:rsid w:val="008D6D36"/>
    <w:rsid w:val="008D791F"/>
    <w:rsid w:val="008E0582"/>
    <w:rsid w:val="008E0693"/>
    <w:rsid w:val="008E0AC8"/>
    <w:rsid w:val="008E26A5"/>
    <w:rsid w:val="008E42D2"/>
    <w:rsid w:val="008E6328"/>
    <w:rsid w:val="008F3B36"/>
    <w:rsid w:val="008F50C9"/>
    <w:rsid w:val="008F578F"/>
    <w:rsid w:val="008F5D04"/>
    <w:rsid w:val="008F6B3F"/>
    <w:rsid w:val="00902F40"/>
    <w:rsid w:val="009038D3"/>
    <w:rsid w:val="009040EE"/>
    <w:rsid w:val="009057FD"/>
    <w:rsid w:val="00906FBA"/>
    <w:rsid w:val="00911341"/>
    <w:rsid w:val="009163E8"/>
    <w:rsid w:val="00917A5A"/>
    <w:rsid w:val="00921BD3"/>
    <w:rsid w:val="009228C7"/>
    <w:rsid w:val="00922A7F"/>
    <w:rsid w:val="00923A5E"/>
    <w:rsid w:val="00924FE7"/>
    <w:rsid w:val="00926E27"/>
    <w:rsid w:val="00931C8C"/>
    <w:rsid w:val="009430BF"/>
    <w:rsid w:val="00943D21"/>
    <w:rsid w:val="0094504B"/>
    <w:rsid w:val="00953686"/>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9F7E24"/>
    <w:rsid w:val="00A00B5B"/>
    <w:rsid w:val="00A00D8D"/>
    <w:rsid w:val="00A01BB6"/>
    <w:rsid w:val="00A108A7"/>
    <w:rsid w:val="00A228DA"/>
    <w:rsid w:val="00A22B28"/>
    <w:rsid w:val="00A26DC0"/>
    <w:rsid w:val="00A3351E"/>
    <w:rsid w:val="00A36867"/>
    <w:rsid w:val="00A4303C"/>
    <w:rsid w:val="00A46CAF"/>
    <w:rsid w:val="00A47099"/>
    <w:rsid w:val="00A470FD"/>
    <w:rsid w:val="00A47223"/>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534"/>
    <w:rsid w:val="00AB3C36"/>
    <w:rsid w:val="00AB3D30"/>
    <w:rsid w:val="00AC0474"/>
    <w:rsid w:val="00AC4B09"/>
    <w:rsid w:val="00AC5A01"/>
    <w:rsid w:val="00AC6449"/>
    <w:rsid w:val="00AD10EB"/>
    <w:rsid w:val="00AD1ED3"/>
    <w:rsid w:val="00AD35F4"/>
    <w:rsid w:val="00AD3717"/>
    <w:rsid w:val="00AD74F4"/>
    <w:rsid w:val="00AE204F"/>
    <w:rsid w:val="00AE2741"/>
    <w:rsid w:val="00AE3FDF"/>
    <w:rsid w:val="00AE7982"/>
    <w:rsid w:val="00AF37DA"/>
    <w:rsid w:val="00AF50F4"/>
    <w:rsid w:val="00AF5890"/>
    <w:rsid w:val="00B019C1"/>
    <w:rsid w:val="00B02001"/>
    <w:rsid w:val="00B03C50"/>
    <w:rsid w:val="00B04CAA"/>
    <w:rsid w:val="00B055D7"/>
    <w:rsid w:val="00B0777D"/>
    <w:rsid w:val="00B07DDF"/>
    <w:rsid w:val="00B10986"/>
    <w:rsid w:val="00B11576"/>
    <w:rsid w:val="00B1195F"/>
    <w:rsid w:val="00B14D10"/>
    <w:rsid w:val="00B209C7"/>
    <w:rsid w:val="00B22D64"/>
    <w:rsid w:val="00B26480"/>
    <w:rsid w:val="00B3644F"/>
    <w:rsid w:val="00B36C55"/>
    <w:rsid w:val="00B4057A"/>
    <w:rsid w:val="00B40894"/>
    <w:rsid w:val="00B41039"/>
    <w:rsid w:val="00B41F37"/>
    <w:rsid w:val="00B42987"/>
    <w:rsid w:val="00B444AE"/>
    <w:rsid w:val="00B45E75"/>
    <w:rsid w:val="00B47ABE"/>
    <w:rsid w:val="00B50876"/>
    <w:rsid w:val="00B51074"/>
    <w:rsid w:val="00B5465A"/>
    <w:rsid w:val="00B54DAA"/>
    <w:rsid w:val="00B552E0"/>
    <w:rsid w:val="00B558EA"/>
    <w:rsid w:val="00B55AB0"/>
    <w:rsid w:val="00B55EE5"/>
    <w:rsid w:val="00B61D42"/>
    <w:rsid w:val="00B67A43"/>
    <w:rsid w:val="00B67F9F"/>
    <w:rsid w:val="00B71D1F"/>
    <w:rsid w:val="00B72B25"/>
    <w:rsid w:val="00B72CFF"/>
    <w:rsid w:val="00B73DE6"/>
    <w:rsid w:val="00B74F20"/>
    <w:rsid w:val="00B761CD"/>
    <w:rsid w:val="00B76B66"/>
    <w:rsid w:val="00B84241"/>
    <w:rsid w:val="00B86EF0"/>
    <w:rsid w:val="00B96969"/>
    <w:rsid w:val="00B97900"/>
    <w:rsid w:val="00BA1229"/>
    <w:rsid w:val="00BA44A8"/>
    <w:rsid w:val="00BA49C5"/>
    <w:rsid w:val="00BB0182"/>
    <w:rsid w:val="00BB2F4A"/>
    <w:rsid w:val="00BB637C"/>
    <w:rsid w:val="00BB77ED"/>
    <w:rsid w:val="00BC1006"/>
    <w:rsid w:val="00BC5A9D"/>
    <w:rsid w:val="00BC5EE8"/>
    <w:rsid w:val="00BC786E"/>
    <w:rsid w:val="00BD5C92"/>
    <w:rsid w:val="00BE50E6"/>
    <w:rsid w:val="00BE7A0C"/>
    <w:rsid w:val="00BF1E98"/>
    <w:rsid w:val="00BF2928"/>
    <w:rsid w:val="00BF5D60"/>
    <w:rsid w:val="00BF6691"/>
    <w:rsid w:val="00C01BEC"/>
    <w:rsid w:val="00C028FC"/>
    <w:rsid w:val="00C037F2"/>
    <w:rsid w:val="00C0386D"/>
    <w:rsid w:val="00C065A1"/>
    <w:rsid w:val="00C06FB1"/>
    <w:rsid w:val="00C10ED5"/>
    <w:rsid w:val="00C12574"/>
    <w:rsid w:val="00C12CB3"/>
    <w:rsid w:val="00C151A6"/>
    <w:rsid w:val="00C15467"/>
    <w:rsid w:val="00C172BC"/>
    <w:rsid w:val="00C24098"/>
    <w:rsid w:val="00C305F1"/>
    <w:rsid w:val="00C30A4E"/>
    <w:rsid w:val="00C3483B"/>
    <w:rsid w:val="00C3641C"/>
    <w:rsid w:val="00C411F3"/>
    <w:rsid w:val="00C44105"/>
    <w:rsid w:val="00C51E78"/>
    <w:rsid w:val="00C52004"/>
    <w:rsid w:val="00C523EC"/>
    <w:rsid w:val="00C55A33"/>
    <w:rsid w:val="00C563A9"/>
    <w:rsid w:val="00C62191"/>
    <w:rsid w:val="00C62755"/>
    <w:rsid w:val="00C64D49"/>
    <w:rsid w:val="00C66692"/>
    <w:rsid w:val="00C66849"/>
    <w:rsid w:val="00C673B5"/>
    <w:rsid w:val="00C7063D"/>
    <w:rsid w:val="00C71E37"/>
    <w:rsid w:val="00C72339"/>
    <w:rsid w:val="00C820BC"/>
    <w:rsid w:val="00C82247"/>
    <w:rsid w:val="00C830BC"/>
    <w:rsid w:val="00C8524D"/>
    <w:rsid w:val="00C90904"/>
    <w:rsid w:val="00C91123"/>
    <w:rsid w:val="00C96CB0"/>
    <w:rsid w:val="00CA1595"/>
    <w:rsid w:val="00CA1DCF"/>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5F99"/>
    <w:rsid w:val="00D17B79"/>
    <w:rsid w:val="00D205F5"/>
    <w:rsid w:val="00D23FEA"/>
    <w:rsid w:val="00D269CA"/>
    <w:rsid w:val="00D30B48"/>
    <w:rsid w:val="00D3168A"/>
    <w:rsid w:val="00D32A55"/>
    <w:rsid w:val="00D350D1"/>
    <w:rsid w:val="00D46FAA"/>
    <w:rsid w:val="00D47A40"/>
    <w:rsid w:val="00D51D33"/>
    <w:rsid w:val="00D54EF0"/>
    <w:rsid w:val="00D559CF"/>
    <w:rsid w:val="00D57132"/>
    <w:rsid w:val="00D57BB2"/>
    <w:rsid w:val="00D57E57"/>
    <w:rsid w:val="00D611DF"/>
    <w:rsid w:val="00D643CB"/>
    <w:rsid w:val="00D65233"/>
    <w:rsid w:val="00D65405"/>
    <w:rsid w:val="00D70752"/>
    <w:rsid w:val="00D71A2B"/>
    <w:rsid w:val="00D80E2D"/>
    <w:rsid w:val="00D81FF7"/>
    <w:rsid w:val="00D824A6"/>
    <w:rsid w:val="00D84D5E"/>
    <w:rsid w:val="00D8560E"/>
    <w:rsid w:val="00D8758F"/>
    <w:rsid w:val="00DA4EDD"/>
    <w:rsid w:val="00DA6B78"/>
    <w:rsid w:val="00DB0671"/>
    <w:rsid w:val="00DB122B"/>
    <w:rsid w:val="00DC0CB7"/>
    <w:rsid w:val="00DC1D94"/>
    <w:rsid w:val="00DC42CF"/>
    <w:rsid w:val="00DC4D2A"/>
    <w:rsid w:val="00DC6191"/>
    <w:rsid w:val="00DC62ED"/>
    <w:rsid w:val="00DC738A"/>
    <w:rsid w:val="00DC77A2"/>
    <w:rsid w:val="00DD382A"/>
    <w:rsid w:val="00DD592E"/>
    <w:rsid w:val="00DE057F"/>
    <w:rsid w:val="00DE2082"/>
    <w:rsid w:val="00DE2289"/>
    <w:rsid w:val="00DE499C"/>
    <w:rsid w:val="00DE5019"/>
    <w:rsid w:val="00DE5D5A"/>
    <w:rsid w:val="00DE69DB"/>
    <w:rsid w:val="00DF09A7"/>
    <w:rsid w:val="00DF0DE8"/>
    <w:rsid w:val="00DF22FC"/>
    <w:rsid w:val="00DF2B51"/>
    <w:rsid w:val="00E001D6"/>
    <w:rsid w:val="00E00897"/>
    <w:rsid w:val="00E03A76"/>
    <w:rsid w:val="00E04410"/>
    <w:rsid w:val="00E07484"/>
    <w:rsid w:val="00E11351"/>
    <w:rsid w:val="00E114ED"/>
    <w:rsid w:val="00E17915"/>
    <w:rsid w:val="00E25DC3"/>
    <w:rsid w:val="00E25E5A"/>
    <w:rsid w:val="00E308B6"/>
    <w:rsid w:val="00E33F44"/>
    <w:rsid w:val="00E3707C"/>
    <w:rsid w:val="00E37D48"/>
    <w:rsid w:val="00E4225C"/>
    <w:rsid w:val="00E44879"/>
    <w:rsid w:val="00E61530"/>
    <w:rsid w:val="00E708FA"/>
    <w:rsid w:val="00E718EA"/>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C28B9"/>
    <w:rsid w:val="00ED6A79"/>
    <w:rsid w:val="00EE17DF"/>
    <w:rsid w:val="00EF1482"/>
    <w:rsid w:val="00EF4621"/>
    <w:rsid w:val="00EF4D52"/>
    <w:rsid w:val="00EF6312"/>
    <w:rsid w:val="00F00C4B"/>
    <w:rsid w:val="00F031AD"/>
    <w:rsid w:val="00F038B0"/>
    <w:rsid w:val="00F05F34"/>
    <w:rsid w:val="00F22B27"/>
    <w:rsid w:val="00F22D13"/>
    <w:rsid w:val="00F234A7"/>
    <w:rsid w:val="00F277B6"/>
    <w:rsid w:val="00F27DA5"/>
    <w:rsid w:val="00F3433D"/>
    <w:rsid w:val="00F37E07"/>
    <w:rsid w:val="00F4182A"/>
    <w:rsid w:val="00F449C6"/>
    <w:rsid w:val="00F464ED"/>
    <w:rsid w:val="00F47B65"/>
    <w:rsid w:val="00F5034F"/>
    <w:rsid w:val="00F54380"/>
    <w:rsid w:val="00F54B47"/>
    <w:rsid w:val="00F5538C"/>
    <w:rsid w:val="00F5601E"/>
    <w:rsid w:val="00F61247"/>
    <w:rsid w:val="00F61F61"/>
    <w:rsid w:val="00F63191"/>
    <w:rsid w:val="00F6702E"/>
    <w:rsid w:val="00F70E84"/>
    <w:rsid w:val="00F80685"/>
    <w:rsid w:val="00F94968"/>
    <w:rsid w:val="00FA092B"/>
    <w:rsid w:val="00FA4F6C"/>
    <w:rsid w:val="00FA6EFD"/>
    <w:rsid w:val="00FB2A8E"/>
    <w:rsid w:val="00FB3791"/>
    <w:rsid w:val="00FB5A39"/>
    <w:rsid w:val="00FB6780"/>
    <w:rsid w:val="00FB74EA"/>
    <w:rsid w:val="00FC1262"/>
    <w:rsid w:val="00FD0ADB"/>
    <w:rsid w:val="00FD1424"/>
    <w:rsid w:val="00FD2C9E"/>
    <w:rsid w:val="00FD334A"/>
    <w:rsid w:val="00FD4786"/>
    <w:rsid w:val="00FD616C"/>
    <w:rsid w:val="00FE4BA2"/>
    <w:rsid w:val="00FE517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A1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8D1A07"/>
  </w:style>
  <w:style w:type="character" w:styleId="Hyperlink">
    <w:name w:val="Hyperlink"/>
    <w:basedOn w:val="DefaultParagraphFont"/>
    <w:unhideWhenUsed/>
    <w:rsid w:val="00600E28"/>
    <w:rPr>
      <w:color w:val="0000FF" w:themeColor="hyperlink"/>
      <w:u w:val="single"/>
    </w:rPr>
  </w:style>
  <w:style w:type="paragraph" w:styleId="BalloonText">
    <w:name w:val="Balloon Text"/>
    <w:basedOn w:val="Normal"/>
    <w:link w:val="BalloonTextChar"/>
    <w:semiHidden/>
    <w:unhideWhenUsed/>
    <w:rsid w:val="00633AF3"/>
    <w:rPr>
      <w:rFonts w:ascii="Segoe UI" w:hAnsi="Segoe UI" w:cs="Segoe UI"/>
      <w:sz w:val="18"/>
      <w:szCs w:val="18"/>
    </w:rPr>
  </w:style>
  <w:style w:type="character" w:customStyle="1" w:styleId="BalloonTextChar">
    <w:name w:val="Balloon Text Char"/>
    <w:basedOn w:val="DefaultParagraphFont"/>
    <w:link w:val="BalloonText"/>
    <w:semiHidden/>
    <w:rsid w:val="00633A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lavia@gbkw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ef@gbkwlaw.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4</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2026-04-03T17:21:00Z</dcterms:created>
  <dcterms:modified xsi:type="dcterms:W3CDTF">2026-04-03T18:09:00Z</dcterms:modified>
</cp:coreProperties>
</file>