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389" w:rsidRDefault="006A7389" w:rsidP="006A7389">
      <w:pPr>
        <w:pStyle w:val="OrderHeading"/>
      </w:pPr>
      <w:r>
        <w:t>BEFORE THE FLORIDA PUBLIC SERVICE COMMISSION</w:t>
      </w:r>
    </w:p>
    <w:p w:rsidR="006A7389" w:rsidRDefault="006A7389" w:rsidP="006A7389">
      <w:pPr>
        <w:pStyle w:val="OrderBody"/>
      </w:pPr>
    </w:p>
    <w:p w:rsidR="006A7389" w:rsidRDefault="006A7389" w:rsidP="006A73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7389" w:rsidRPr="00C63FCF" w:rsidTr="00C63FCF">
        <w:trPr>
          <w:trHeight w:val="828"/>
        </w:trPr>
        <w:tc>
          <w:tcPr>
            <w:tcW w:w="4788" w:type="dxa"/>
            <w:tcBorders>
              <w:bottom w:val="single" w:sz="8" w:space="0" w:color="auto"/>
              <w:right w:val="double" w:sz="6" w:space="0" w:color="auto"/>
            </w:tcBorders>
            <w:shd w:val="clear" w:color="auto" w:fill="auto"/>
          </w:tcPr>
          <w:p w:rsidR="006A7389" w:rsidRDefault="006A7389" w:rsidP="00C63FCF">
            <w:pPr>
              <w:pStyle w:val="OrderBody"/>
              <w:tabs>
                <w:tab w:val="center" w:pos="4320"/>
                <w:tab w:val="right" w:pos="8640"/>
              </w:tabs>
              <w:jc w:val="left"/>
            </w:pPr>
            <w:r>
              <w:t xml:space="preserve">In re: </w:t>
            </w:r>
            <w:bookmarkStart w:id="0" w:name="SSInRe"/>
            <w:bookmarkEnd w:id="0"/>
            <w:r>
              <w:t>Petition for determination of need for Andytown-Oasis transmission lines project in Broward and Miami-Dade Counties, by Florida Power &amp; Light Company.</w:t>
            </w:r>
          </w:p>
        </w:tc>
        <w:tc>
          <w:tcPr>
            <w:tcW w:w="4788" w:type="dxa"/>
            <w:tcBorders>
              <w:left w:val="double" w:sz="6" w:space="0" w:color="auto"/>
            </w:tcBorders>
            <w:shd w:val="clear" w:color="auto" w:fill="auto"/>
          </w:tcPr>
          <w:p w:rsidR="006A7389" w:rsidRDefault="006A7389" w:rsidP="006A7389">
            <w:pPr>
              <w:pStyle w:val="OrderBody"/>
            </w:pPr>
            <w:r>
              <w:t xml:space="preserve">DOCKET NO. </w:t>
            </w:r>
            <w:bookmarkStart w:id="1" w:name="SSDocketNo"/>
            <w:bookmarkEnd w:id="1"/>
            <w:r>
              <w:t>20260020-EI</w:t>
            </w:r>
          </w:p>
          <w:p w:rsidR="006A7389" w:rsidRDefault="006A7389" w:rsidP="00C63FCF">
            <w:pPr>
              <w:pStyle w:val="OrderBody"/>
              <w:tabs>
                <w:tab w:val="center" w:pos="4320"/>
                <w:tab w:val="right" w:pos="8640"/>
              </w:tabs>
              <w:jc w:val="left"/>
            </w:pPr>
            <w:r>
              <w:t xml:space="preserve">ORDER NO. </w:t>
            </w:r>
            <w:bookmarkStart w:id="2" w:name="OrderNo0084"/>
            <w:r w:rsidR="00EF283E">
              <w:t>PSC-2026-0084-PCO-EI</w:t>
            </w:r>
            <w:bookmarkEnd w:id="2"/>
          </w:p>
          <w:p w:rsidR="006A7389" w:rsidRDefault="006A7389" w:rsidP="00C63FCF">
            <w:pPr>
              <w:pStyle w:val="OrderBody"/>
              <w:tabs>
                <w:tab w:val="center" w:pos="4320"/>
                <w:tab w:val="right" w:pos="8640"/>
              </w:tabs>
              <w:jc w:val="left"/>
            </w:pPr>
            <w:r>
              <w:t xml:space="preserve">ISSUED: </w:t>
            </w:r>
            <w:r w:rsidR="00EF283E">
              <w:t>April 10, 2026</w:t>
            </w:r>
          </w:p>
        </w:tc>
      </w:tr>
    </w:tbl>
    <w:p w:rsidR="006A7389" w:rsidRDefault="006A7389" w:rsidP="006A7389"/>
    <w:p w:rsidR="00CB5276" w:rsidRDefault="00D611DF" w:rsidP="006A7389">
      <w:r>
        <w:t xml:space="preserve"> </w:t>
      </w:r>
    </w:p>
    <w:p w:rsidR="00BF4886" w:rsidRDefault="006A7389" w:rsidP="006A7389">
      <w:pPr>
        <w:pStyle w:val="CenterUnderline"/>
      </w:pPr>
      <w:bookmarkStart w:id="3" w:name="Commissioners"/>
      <w:bookmarkEnd w:id="3"/>
      <w:r>
        <w:t>ORDER</w:t>
      </w:r>
      <w:bookmarkStart w:id="4" w:name="OrderTitle"/>
      <w:r>
        <w:t xml:space="preserve"> </w:t>
      </w:r>
      <w:r w:rsidR="00BF4886">
        <w:t>DENYING ENVIRONMENTAL DEFENSE FUND’S</w:t>
      </w:r>
    </w:p>
    <w:p w:rsidR="00CB5276" w:rsidRDefault="00BF4886" w:rsidP="006A7389">
      <w:pPr>
        <w:pStyle w:val="CenterUnderline"/>
      </w:pPr>
      <w:r>
        <w:t>MOTION TO ALTER SCHEDULE</w:t>
      </w:r>
      <w:r w:rsidR="006A7389">
        <w:t xml:space="preserve"> </w:t>
      </w:r>
      <w:bookmarkEnd w:id="4"/>
    </w:p>
    <w:p w:rsidR="006A7389" w:rsidRDefault="006A7389" w:rsidP="006A7389">
      <w:pPr>
        <w:pStyle w:val="CenterUnderline"/>
        <w:jc w:val="left"/>
        <w:rPr>
          <w:u w:val="none"/>
        </w:rPr>
      </w:pPr>
    </w:p>
    <w:p w:rsidR="00B64E26" w:rsidRDefault="00B64E26" w:rsidP="00B64E26">
      <w:pPr>
        <w:ind w:firstLine="720"/>
        <w:jc w:val="both"/>
      </w:pPr>
      <w:r w:rsidRPr="00EC28B9">
        <w:t xml:space="preserve">On February 9, 2026, pursuant to Section 403.537, Florida Statutes (F.S.), and Rule 25-22.075, Florida Administrative Code (F.A.C.), Florida Power &amp; Light Company (FPL) filed a Notice of Intent to File Petition for Transmission Lines Need Determination. FPL subsequently filed its Petition to Determine Need for Electrical Transmission Lines </w:t>
      </w:r>
      <w:r>
        <w:t xml:space="preserve">(Petition) </w:t>
      </w:r>
      <w:r w:rsidRPr="00EC28B9">
        <w:t>on March 11, 2026</w:t>
      </w:r>
      <w:r>
        <w:t xml:space="preserve">. The lines for which FPL seeks a need determination </w:t>
      </w:r>
      <w:r w:rsidR="00D71AD3">
        <w:t xml:space="preserve">in the Petition </w:t>
      </w:r>
      <w:r>
        <w:t xml:space="preserve">are referred to </w:t>
      </w:r>
      <w:r w:rsidR="0044576D">
        <w:t xml:space="preserve">collectively </w:t>
      </w:r>
      <w:r>
        <w:t xml:space="preserve">as the “Andytown-Oasis </w:t>
      </w:r>
      <w:r w:rsidR="009736FD">
        <w:t xml:space="preserve">Transmission Lines </w:t>
      </w:r>
      <w:r>
        <w:t>Project” (AOP). Pursuant to Order No. PSC-2026-0056-PCO-EI (OEP), an evidentiary hearing on the Petition has been scheduled for April 23, 2026.</w:t>
      </w:r>
    </w:p>
    <w:p w:rsidR="00B64E26" w:rsidRDefault="00B64E26" w:rsidP="00B64E26">
      <w:pPr>
        <w:jc w:val="both"/>
      </w:pPr>
    </w:p>
    <w:p w:rsidR="00B64E26" w:rsidRPr="00173CF1" w:rsidRDefault="00B64E26" w:rsidP="00B64E26">
      <w:pPr>
        <w:jc w:val="both"/>
        <w:rPr>
          <w:u w:val="single"/>
        </w:rPr>
      </w:pPr>
      <w:r>
        <w:rPr>
          <w:u w:val="single"/>
        </w:rPr>
        <w:t>Motion to</w:t>
      </w:r>
      <w:r w:rsidRPr="00173CF1">
        <w:rPr>
          <w:u w:val="single"/>
        </w:rPr>
        <w:t xml:space="preserve"> </w:t>
      </w:r>
      <w:r>
        <w:rPr>
          <w:u w:val="single"/>
        </w:rPr>
        <w:t>Alter Schedule</w:t>
      </w:r>
    </w:p>
    <w:p w:rsidR="00B64E26" w:rsidRPr="00A0713E" w:rsidRDefault="00B64E26" w:rsidP="00A0713E">
      <w:pPr>
        <w:jc w:val="both"/>
      </w:pPr>
    </w:p>
    <w:p w:rsidR="00554832" w:rsidRDefault="00B64E26" w:rsidP="00A0713E">
      <w:pPr>
        <w:pStyle w:val="Default"/>
        <w:jc w:val="both"/>
        <w:rPr>
          <w:rFonts w:ascii="Times New Roman" w:hAnsi="Times New Roman" w:cs="Times New Roman"/>
        </w:rPr>
      </w:pPr>
      <w:r w:rsidRPr="00A0713E">
        <w:rPr>
          <w:rFonts w:ascii="Times New Roman" w:hAnsi="Times New Roman" w:cs="Times New Roman"/>
        </w:rPr>
        <w:tab/>
        <w:t>On March 24, 2026, the Environmental Defense Fund</w:t>
      </w:r>
      <w:r w:rsidR="00090035">
        <w:rPr>
          <w:rFonts w:ascii="Times New Roman" w:hAnsi="Times New Roman" w:cs="Times New Roman"/>
        </w:rPr>
        <w:t>, Inc.</w:t>
      </w:r>
      <w:r w:rsidRPr="00A0713E">
        <w:rPr>
          <w:rFonts w:ascii="Times New Roman" w:hAnsi="Times New Roman" w:cs="Times New Roman"/>
        </w:rPr>
        <w:t xml:space="preserve"> (EDF)</w:t>
      </w:r>
      <w:r w:rsidRPr="00A0713E">
        <w:rPr>
          <w:rStyle w:val="FootnoteReference"/>
          <w:rFonts w:ascii="Times New Roman" w:hAnsi="Times New Roman" w:cs="Times New Roman"/>
        </w:rPr>
        <w:footnoteReference w:id="1"/>
      </w:r>
      <w:r w:rsidRPr="00A0713E">
        <w:rPr>
          <w:rFonts w:ascii="Times New Roman" w:hAnsi="Times New Roman" w:cs="Times New Roman"/>
        </w:rPr>
        <w:t xml:space="preserve"> filed a Motion to Alter Schedule (Motion). EDF a</w:t>
      </w:r>
      <w:r w:rsidR="00554832">
        <w:rPr>
          <w:rFonts w:ascii="Times New Roman" w:hAnsi="Times New Roman" w:cs="Times New Roman"/>
        </w:rPr>
        <w:t>rgu</w:t>
      </w:r>
      <w:r w:rsidRPr="00A0713E">
        <w:rPr>
          <w:rFonts w:ascii="Times New Roman" w:hAnsi="Times New Roman" w:cs="Times New Roman"/>
        </w:rPr>
        <w:t>es</w:t>
      </w:r>
      <w:r w:rsidR="00A0713E" w:rsidRPr="00A0713E">
        <w:rPr>
          <w:rFonts w:ascii="Times New Roman" w:hAnsi="Times New Roman" w:cs="Times New Roman"/>
        </w:rPr>
        <w:t xml:space="preserve"> </w:t>
      </w:r>
      <w:r w:rsidR="00554832">
        <w:rPr>
          <w:rFonts w:ascii="Times New Roman" w:hAnsi="Times New Roman" w:cs="Times New Roman"/>
        </w:rPr>
        <w:t xml:space="preserve">in the Motion </w:t>
      </w:r>
      <w:r w:rsidR="00A0713E" w:rsidRPr="00A0713E">
        <w:rPr>
          <w:rFonts w:ascii="Times New Roman" w:hAnsi="Times New Roman" w:cs="Times New Roman"/>
        </w:rPr>
        <w:t xml:space="preserve">that </w:t>
      </w:r>
      <w:r w:rsidR="00A0713E" w:rsidRPr="00A0713E">
        <w:rPr>
          <w:rFonts w:ascii="Times New Roman" w:hAnsi="Times New Roman" w:cs="Times New Roman"/>
          <w:color w:val="auto"/>
        </w:rPr>
        <w:t>t</w:t>
      </w:r>
      <w:r w:rsidR="00A0713E" w:rsidRPr="00554832">
        <w:rPr>
          <w:rFonts w:ascii="Times New Roman" w:hAnsi="Times New Roman" w:cs="Times New Roman"/>
          <w:color w:val="auto"/>
        </w:rPr>
        <w:t xml:space="preserve">he time schedule established </w:t>
      </w:r>
      <w:r w:rsidR="00554832">
        <w:rPr>
          <w:rFonts w:ascii="Times New Roman" w:hAnsi="Times New Roman" w:cs="Times New Roman"/>
          <w:color w:val="auto"/>
        </w:rPr>
        <w:t>in</w:t>
      </w:r>
      <w:r w:rsidR="00A0713E" w:rsidRPr="00554832">
        <w:rPr>
          <w:rFonts w:ascii="Times New Roman" w:hAnsi="Times New Roman" w:cs="Times New Roman"/>
          <w:color w:val="auto"/>
        </w:rPr>
        <w:t xml:space="preserve"> the OEP is insufficient to allow parties other than FPL to prepare and present adequate evidence.</w:t>
      </w:r>
      <w:r w:rsidR="00554832" w:rsidRPr="00554832">
        <w:rPr>
          <w:rFonts w:ascii="Times New Roman" w:hAnsi="Times New Roman" w:cs="Times New Roman"/>
        </w:rPr>
        <w:t xml:space="preserve"> </w:t>
      </w:r>
      <w:r w:rsidR="00554832">
        <w:rPr>
          <w:rFonts w:ascii="Times New Roman" w:hAnsi="Times New Roman" w:cs="Times New Roman"/>
        </w:rPr>
        <w:t xml:space="preserve">In support of this argument, </w:t>
      </w:r>
      <w:r w:rsidR="00554832" w:rsidRPr="00554832">
        <w:rPr>
          <w:rFonts w:ascii="Times New Roman" w:hAnsi="Times New Roman" w:cs="Times New Roman"/>
        </w:rPr>
        <w:t xml:space="preserve">EDF </w:t>
      </w:r>
      <w:r w:rsidR="00554832">
        <w:rPr>
          <w:rFonts w:ascii="Times New Roman" w:hAnsi="Times New Roman" w:cs="Times New Roman"/>
        </w:rPr>
        <w:t>notes</w:t>
      </w:r>
      <w:r w:rsidR="00554832" w:rsidRPr="00554832">
        <w:rPr>
          <w:rFonts w:ascii="Times New Roman" w:hAnsi="Times New Roman" w:cs="Times New Roman"/>
        </w:rPr>
        <w:t xml:space="preserve"> that it had only 13 days from receipt of FPL’s</w:t>
      </w:r>
      <w:r w:rsidR="003F3DBD">
        <w:rPr>
          <w:rFonts w:ascii="Times New Roman" w:hAnsi="Times New Roman" w:cs="Times New Roman"/>
        </w:rPr>
        <w:t xml:space="preserve"> prefiled</w:t>
      </w:r>
      <w:r w:rsidR="00554832" w:rsidRPr="00554832">
        <w:rPr>
          <w:rFonts w:ascii="Times New Roman" w:hAnsi="Times New Roman" w:cs="Times New Roman"/>
        </w:rPr>
        <w:t xml:space="preserve"> testimony and exhibits to submit its prefiled testimony</w:t>
      </w:r>
      <w:r w:rsidR="00554832">
        <w:rPr>
          <w:rFonts w:ascii="Times New Roman" w:hAnsi="Times New Roman" w:cs="Times New Roman"/>
        </w:rPr>
        <w:t>.</w:t>
      </w:r>
    </w:p>
    <w:p w:rsidR="00554832" w:rsidRDefault="00554832" w:rsidP="00A0713E">
      <w:pPr>
        <w:pStyle w:val="Default"/>
        <w:jc w:val="both"/>
        <w:rPr>
          <w:rFonts w:ascii="Times New Roman" w:hAnsi="Times New Roman" w:cs="Times New Roman"/>
        </w:rPr>
      </w:pPr>
    </w:p>
    <w:p w:rsidR="00B64E26" w:rsidRPr="00A0713E" w:rsidRDefault="00554832" w:rsidP="00A0713E">
      <w:pPr>
        <w:pStyle w:val="Default"/>
        <w:jc w:val="both"/>
        <w:rPr>
          <w:rFonts w:ascii="Times New Roman" w:hAnsi="Times New Roman" w:cs="Times New Roman"/>
        </w:rPr>
      </w:pPr>
      <w:r>
        <w:rPr>
          <w:rFonts w:ascii="Times New Roman" w:hAnsi="Times New Roman" w:cs="Times New Roman"/>
        </w:rPr>
        <w:tab/>
      </w:r>
      <w:r w:rsidR="003F3DBD">
        <w:rPr>
          <w:rFonts w:ascii="Times New Roman" w:hAnsi="Times New Roman" w:cs="Times New Roman"/>
        </w:rPr>
        <w:t xml:space="preserve">Specifically, </w:t>
      </w:r>
      <w:r>
        <w:rPr>
          <w:rFonts w:ascii="Times New Roman" w:hAnsi="Times New Roman" w:cs="Times New Roman"/>
          <w:color w:val="auto"/>
        </w:rPr>
        <w:t xml:space="preserve">EDF alleges that </w:t>
      </w:r>
      <w:r w:rsidR="00F12A41">
        <w:rPr>
          <w:rFonts w:ascii="Times New Roman" w:hAnsi="Times New Roman" w:cs="Times New Roman"/>
          <w:color w:val="auto"/>
        </w:rPr>
        <w:t xml:space="preserve">the information </w:t>
      </w:r>
      <w:r w:rsidR="0044576D" w:rsidRPr="00554832">
        <w:rPr>
          <w:rFonts w:ascii="Times New Roman" w:hAnsi="Times New Roman" w:cs="Times New Roman"/>
        </w:rPr>
        <w:t>FPL</w:t>
      </w:r>
      <w:r w:rsidR="00F12A41">
        <w:rPr>
          <w:rFonts w:ascii="Times New Roman" w:hAnsi="Times New Roman" w:cs="Times New Roman"/>
        </w:rPr>
        <w:t xml:space="preserve"> relies upon is</w:t>
      </w:r>
      <w:r w:rsidR="00B64E26" w:rsidRPr="00554832">
        <w:rPr>
          <w:rFonts w:ascii="Times New Roman" w:hAnsi="Times New Roman" w:cs="Times New Roman"/>
        </w:rPr>
        <w:t xml:space="preserve"> insufficient to </w:t>
      </w:r>
      <w:r w:rsidR="00F12A41">
        <w:rPr>
          <w:rFonts w:ascii="Times New Roman" w:hAnsi="Times New Roman" w:cs="Times New Roman"/>
        </w:rPr>
        <w:t xml:space="preserve">support the Petition and </w:t>
      </w:r>
      <w:r w:rsidR="00B64E26" w:rsidRPr="00554832">
        <w:rPr>
          <w:rFonts w:ascii="Times New Roman" w:hAnsi="Times New Roman" w:cs="Times New Roman"/>
        </w:rPr>
        <w:t xml:space="preserve">establish a need for the AOP because </w:t>
      </w:r>
      <w:r w:rsidR="0044576D" w:rsidRPr="00554832">
        <w:rPr>
          <w:rFonts w:ascii="Times New Roman" w:hAnsi="Times New Roman" w:cs="Times New Roman"/>
        </w:rPr>
        <w:t>FPL did not</w:t>
      </w:r>
      <w:r w:rsidR="00B64E26" w:rsidRPr="00554832">
        <w:rPr>
          <w:rFonts w:ascii="Times New Roman" w:hAnsi="Times New Roman" w:cs="Times New Roman"/>
        </w:rPr>
        <w:t xml:space="preserve"> consider</w:t>
      </w:r>
      <w:r w:rsidR="0044576D" w:rsidRPr="00554832">
        <w:rPr>
          <w:rFonts w:ascii="Times New Roman" w:hAnsi="Times New Roman" w:cs="Times New Roman"/>
        </w:rPr>
        <w:t xml:space="preserve"> </w:t>
      </w:r>
      <w:r w:rsidR="00B64E26" w:rsidRPr="00554832">
        <w:rPr>
          <w:rFonts w:ascii="Times New Roman" w:hAnsi="Times New Roman" w:cs="Times New Roman"/>
        </w:rPr>
        <w:t>available alternatives.</w:t>
      </w:r>
      <w:r w:rsidR="00A0713E" w:rsidRPr="00554832">
        <w:rPr>
          <w:rFonts w:ascii="Times New Roman" w:hAnsi="Times New Roman" w:cs="Times New Roman"/>
        </w:rPr>
        <w:t xml:space="preserve"> EDF </w:t>
      </w:r>
      <w:r w:rsidR="00B64E26" w:rsidRPr="00554832">
        <w:rPr>
          <w:rFonts w:ascii="Times New Roman" w:hAnsi="Times New Roman" w:cs="Times New Roman"/>
        </w:rPr>
        <w:t>argues that the curre</w:t>
      </w:r>
      <w:r w:rsidR="00B64E26" w:rsidRPr="00A0713E">
        <w:rPr>
          <w:rFonts w:ascii="Times New Roman" w:hAnsi="Times New Roman" w:cs="Times New Roman"/>
        </w:rPr>
        <w:t xml:space="preserve">nt schedule established in </w:t>
      </w:r>
      <w:r w:rsidR="009736FD">
        <w:rPr>
          <w:rFonts w:ascii="Times New Roman" w:hAnsi="Times New Roman" w:cs="Times New Roman"/>
        </w:rPr>
        <w:t xml:space="preserve">the </w:t>
      </w:r>
      <w:r w:rsidR="00B64E26" w:rsidRPr="00A0713E">
        <w:rPr>
          <w:rFonts w:ascii="Times New Roman" w:hAnsi="Times New Roman" w:cs="Times New Roman"/>
        </w:rPr>
        <w:t xml:space="preserve">OEP should be altered to allow </w:t>
      </w:r>
      <w:r w:rsidR="00A0713E">
        <w:rPr>
          <w:rFonts w:ascii="Times New Roman" w:hAnsi="Times New Roman" w:cs="Times New Roman"/>
        </w:rPr>
        <w:t xml:space="preserve">sufficient </w:t>
      </w:r>
      <w:r w:rsidR="00B64E26" w:rsidRPr="00A0713E">
        <w:rPr>
          <w:rFonts w:ascii="Times New Roman" w:hAnsi="Times New Roman" w:cs="Times New Roman"/>
        </w:rPr>
        <w:t xml:space="preserve">time for </w:t>
      </w:r>
      <w:r w:rsidR="00A0713E">
        <w:rPr>
          <w:rFonts w:ascii="Times New Roman" w:hAnsi="Times New Roman" w:cs="Times New Roman"/>
        </w:rPr>
        <w:t xml:space="preserve">such </w:t>
      </w:r>
      <w:r w:rsidR="00B64E26" w:rsidRPr="00A0713E">
        <w:rPr>
          <w:rFonts w:ascii="Times New Roman" w:hAnsi="Times New Roman" w:cs="Times New Roman"/>
        </w:rPr>
        <w:t>alternatives to be prepared</w:t>
      </w:r>
      <w:r w:rsidR="00D71AD3" w:rsidRPr="00A0713E">
        <w:rPr>
          <w:rFonts w:ascii="Times New Roman" w:hAnsi="Times New Roman" w:cs="Times New Roman"/>
        </w:rPr>
        <w:t xml:space="preserve"> </w:t>
      </w:r>
      <w:r w:rsidR="004E2AB5">
        <w:rPr>
          <w:rFonts w:ascii="Times New Roman" w:hAnsi="Times New Roman" w:cs="Times New Roman"/>
        </w:rPr>
        <w:t xml:space="preserve">and presented </w:t>
      </w:r>
      <w:r w:rsidR="00D71AD3" w:rsidRPr="00A0713E">
        <w:rPr>
          <w:rFonts w:ascii="Times New Roman" w:hAnsi="Times New Roman" w:cs="Times New Roman"/>
        </w:rPr>
        <w:t>by either FPL or other engineering experts</w:t>
      </w:r>
      <w:r w:rsidR="00B64E26" w:rsidRPr="00A0713E">
        <w:rPr>
          <w:rFonts w:ascii="Times New Roman" w:hAnsi="Times New Roman" w:cs="Times New Roman"/>
        </w:rPr>
        <w:t>. EDF estimates that it could prepare and present alternatives in approximately six months, and that FPL could likely do so in 60 to 90 days.</w:t>
      </w:r>
      <w:r w:rsidR="00A0713E">
        <w:rPr>
          <w:rFonts w:ascii="Times New Roman" w:hAnsi="Times New Roman" w:cs="Times New Roman"/>
        </w:rPr>
        <w:t xml:space="preserve"> To not </w:t>
      </w:r>
      <w:r w:rsidR="00582BC4">
        <w:rPr>
          <w:rFonts w:ascii="Times New Roman" w:hAnsi="Times New Roman" w:cs="Times New Roman"/>
        </w:rPr>
        <w:t>alter the schedule and allow this opportunity</w:t>
      </w:r>
      <w:r w:rsidR="00A0713E">
        <w:rPr>
          <w:rFonts w:ascii="Times New Roman" w:hAnsi="Times New Roman" w:cs="Times New Roman"/>
        </w:rPr>
        <w:t xml:space="preserve">, concludes EDF, violates </w:t>
      </w:r>
      <w:r w:rsidR="00A0713E" w:rsidRPr="00A0713E">
        <w:rPr>
          <w:rFonts w:ascii="Times New Roman" w:hAnsi="Times New Roman" w:cs="Times New Roman"/>
          <w:color w:val="auto"/>
        </w:rPr>
        <w:t>Section 120.57(1), F</w:t>
      </w:r>
      <w:r w:rsidR="00A0713E">
        <w:rPr>
          <w:rFonts w:ascii="Times New Roman" w:hAnsi="Times New Roman" w:cs="Times New Roman"/>
          <w:color w:val="auto"/>
        </w:rPr>
        <w:t>.S</w:t>
      </w:r>
      <w:r w:rsidR="00A0713E" w:rsidRPr="00A0713E">
        <w:rPr>
          <w:rFonts w:ascii="Times New Roman" w:hAnsi="Times New Roman" w:cs="Times New Roman"/>
          <w:color w:val="auto"/>
        </w:rPr>
        <w:t>., and due process</w:t>
      </w:r>
      <w:r w:rsidR="00A0713E">
        <w:rPr>
          <w:rFonts w:ascii="Times New Roman" w:hAnsi="Times New Roman" w:cs="Times New Roman"/>
          <w:color w:val="auto"/>
        </w:rPr>
        <w:t>.</w:t>
      </w:r>
      <w:r w:rsidR="00A0713E">
        <w:rPr>
          <w:rFonts w:ascii="Times New Roman" w:hAnsi="Times New Roman" w:cs="Times New Roman"/>
        </w:rPr>
        <w:t xml:space="preserve"> </w:t>
      </w:r>
    </w:p>
    <w:p w:rsidR="00B64E26" w:rsidRPr="00A0713E" w:rsidRDefault="00B64E26" w:rsidP="00B64E26"/>
    <w:p w:rsidR="00B64E26" w:rsidRPr="00A0713E" w:rsidRDefault="00B64E26" w:rsidP="00B64E26">
      <w:pPr>
        <w:rPr>
          <w:u w:val="single"/>
        </w:rPr>
      </w:pPr>
      <w:r w:rsidRPr="00A0713E">
        <w:rPr>
          <w:u w:val="single"/>
        </w:rPr>
        <w:t>FPL’s Response to the Motion</w:t>
      </w:r>
    </w:p>
    <w:p w:rsidR="00B64E26" w:rsidRPr="00A0713E" w:rsidRDefault="00B64E26" w:rsidP="00B64E26"/>
    <w:p w:rsidR="00D71AD3" w:rsidRDefault="00D71AD3" w:rsidP="005564DB">
      <w:pPr>
        <w:jc w:val="both"/>
      </w:pPr>
      <w:r w:rsidRPr="00A0713E">
        <w:tab/>
      </w:r>
      <w:r w:rsidR="00554832">
        <w:t>In</w:t>
      </w:r>
      <w:r w:rsidRPr="00A0713E">
        <w:t xml:space="preserve"> its Response to Motion to Alter Schedule (Response)</w:t>
      </w:r>
      <w:r w:rsidR="00554832">
        <w:t>,</w:t>
      </w:r>
      <w:r w:rsidRPr="00A0713E">
        <w:t xml:space="preserve"> FPL first notes that Section 403.537, F.S., contains specific timeframes within which a need determination hearing must be conducted</w:t>
      </w:r>
      <w:r w:rsidR="00554832">
        <w:t xml:space="preserve"> </w:t>
      </w:r>
      <w:r w:rsidRPr="00A0713E">
        <w:t xml:space="preserve">and the final </w:t>
      </w:r>
      <w:r w:rsidR="00554832">
        <w:t>decision</w:t>
      </w:r>
      <w:r w:rsidRPr="00A0713E">
        <w:t xml:space="preserve"> rendered</w:t>
      </w:r>
      <w:r w:rsidR="00554832">
        <w:t>, and that the dates in the OEP are in line with this statutory mandate</w:t>
      </w:r>
      <w:r w:rsidRPr="00A0713E">
        <w:t>. FPL continues that Section 403.537(3), F.S., provides</w:t>
      </w:r>
      <w:r w:rsidR="00554832">
        <w:t xml:space="preserve"> that</w:t>
      </w:r>
      <w:r>
        <w:t xml:space="preserve"> the Commission </w:t>
      </w:r>
      <w:r>
        <w:lastRenderedPageBreak/>
        <w:t>may alter th</w:t>
      </w:r>
      <w:r w:rsidR="005564DB">
        <w:t>is</w:t>
      </w:r>
      <w:r>
        <w:t xml:space="preserve"> statutory schedule only upon stipulation </w:t>
      </w:r>
      <w:r w:rsidR="00554832">
        <w:t>with</w:t>
      </w:r>
      <w:r>
        <w:t xml:space="preserve"> the applicant or for good cause show</w:t>
      </w:r>
      <w:r w:rsidR="00FB12F0">
        <w:t>n</w:t>
      </w:r>
      <w:r>
        <w:t>.</w:t>
      </w:r>
      <w:r w:rsidR="005564DB">
        <w:t xml:space="preserve"> Because t</w:t>
      </w:r>
      <w:r>
        <w:t>here is no stipulation</w:t>
      </w:r>
      <w:r w:rsidR="00554832">
        <w:t xml:space="preserve"> by the applicant (</w:t>
      </w:r>
      <w:r w:rsidR="009736FD">
        <w:t xml:space="preserve">i.e., </w:t>
      </w:r>
      <w:r w:rsidR="00554832">
        <w:t xml:space="preserve">FPL) to alter the schedule </w:t>
      </w:r>
      <w:r>
        <w:t xml:space="preserve">in this instance, </w:t>
      </w:r>
      <w:r w:rsidR="005564DB">
        <w:t>FPL argues that</w:t>
      </w:r>
      <w:r>
        <w:t xml:space="preserve"> </w:t>
      </w:r>
      <w:r w:rsidR="005564DB">
        <w:t>EDF must demonstrate good cause, and that is has failed to do so for numerous reasons.</w:t>
      </w:r>
    </w:p>
    <w:p w:rsidR="00D71AD3" w:rsidRDefault="00D71AD3" w:rsidP="00B64E26"/>
    <w:p w:rsidR="00062DB8" w:rsidRDefault="005564DB" w:rsidP="00713739">
      <w:pPr>
        <w:jc w:val="both"/>
      </w:pPr>
      <w:r>
        <w:tab/>
        <w:t xml:space="preserve">FPL </w:t>
      </w:r>
      <w:r w:rsidR="00457333">
        <w:t xml:space="preserve">first </w:t>
      </w:r>
      <w:r>
        <w:t xml:space="preserve">argues that </w:t>
      </w:r>
      <w:r w:rsidR="00457333">
        <w:t>Rule 25</w:t>
      </w:r>
      <w:r w:rsidR="009736FD">
        <w:t>-</w:t>
      </w:r>
      <w:r w:rsidR="00457333">
        <w:t>22</w:t>
      </w:r>
      <w:r w:rsidR="00756409">
        <w:t>.</w:t>
      </w:r>
      <w:r w:rsidR="00457333">
        <w:t>076, F.A.C., places the burden of proof on the applicant</w:t>
      </w:r>
      <w:r>
        <w:t xml:space="preserve"> to justify a need for the proposed AOP based on the alternatives it identifie</w:t>
      </w:r>
      <w:r w:rsidR="00457333">
        <w:t>s</w:t>
      </w:r>
      <w:r>
        <w:t xml:space="preserve"> and examine</w:t>
      </w:r>
      <w:r w:rsidR="00457333">
        <w:t>s</w:t>
      </w:r>
      <w:r w:rsidR="00554832">
        <w:t xml:space="preserve">. There is no provision in the Rule </w:t>
      </w:r>
      <w:r w:rsidR="004E2AB5">
        <w:t>that requires or provides for</w:t>
      </w:r>
      <w:r w:rsidR="00554832">
        <w:t xml:space="preserve"> additional alternatives to be identified or examined. </w:t>
      </w:r>
      <w:r w:rsidR="00062DB8">
        <w:t xml:space="preserve">Accordingly, concludes FPL, </w:t>
      </w:r>
      <w:r w:rsidR="00CC3245">
        <w:t xml:space="preserve">time to prepare additional alternatives is not </w:t>
      </w:r>
      <w:r w:rsidR="00457333">
        <w:t>a legal basis for</w:t>
      </w:r>
      <w:r w:rsidR="00062DB8">
        <w:t xml:space="preserve"> good cause.</w:t>
      </w:r>
    </w:p>
    <w:p w:rsidR="00062DB8" w:rsidRDefault="00062DB8" w:rsidP="00B64E26"/>
    <w:p w:rsidR="00D71AD3" w:rsidRDefault="00062DB8" w:rsidP="00FA4BAF">
      <w:pPr>
        <w:jc w:val="both"/>
      </w:pPr>
      <w:r>
        <w:tab/>
        <w:t xml:space="preserve">FPL </w:t>
      </w:r>
      <w:r w:rsidR="00FA4BAF">
        <w:t>c</w:t>
      </w:r>
      <w:r w:rsidR="00457333">
        <w:t>ontinues</w:t>
      </w:r>
      <w:r>
        <w:t xml:space="preserve"> that the current schedule tracks the statutory requirements and deadlines </w:t>
      </w:r>
      <w:r w:rsidR="002E78D0">
        <w:t>and</w:t>
      </w:r>
      <w:r>
        <w:t xml:space="preserve"> provid</w:t>
      </w:r>
      <w:r w:rsidR="002E78D0">
        <w:t>es</w:t>
      </w:r>
      <w:r>
        <w:t xml:space="preserve"> EDF with due process. FPL emphasized that the first notice of the AOP was filed on February 9, 2026, and </w:t>
      </w:r>
      <w:r w:rsidR="00756409">
        <w:t xml:space="preserve">its </w:t>
      </w:r>
      <w:r>
        <w:t>first notice was published March 4, 2026, both of which provided EDF with early notice and o</w:t>
      </w:r>
      <w:r w:rsidR="00CC3245">
        <w:t>pportunity to begin preparation long before the Petition and prefiled testimony were submitted.</w:t>
      </w:r>
    </w:p>
    <w:p w:rsidR="00D71AD3" w:rsidRDefault="00D71AD3" w:rsidP="00B64E26"/>
    <w:p w:rsidR="00B64E26" w:rsidRPr="00D3631C" w:rsidRDefault="00B64E26" w:rsidP="00B64E26">
      <w:pPr>
        <w:rPr>
          <w:u w:val="single"/>
        </w:rPr>
      </w:pPr>
      <w:r w:rsidRPr="00D3631C">
        <w:rPr>
          <w:u w:val="single"/>
        </w:rPr>
        <w:t>Analysis</w:t>
      </w:r>
    </w:p>
    <w:p w:rsidR="00B64E26" w:rsidRDefault="00B64E26" w:rsidP="00B64E26"/>
    <w:p w:rsidR="009D6985" w:rsidRDefault="00713739" w:rsidP="00AB3C8D">
      <w:pPr>
        <w:jc w:val="both"/>
      </w:pPr>
      <w:r>
        <w:tab/>
        <w:t>Section 403.537</w:t>
      </w:r>
      <w:r w:rsidR="004848E2">
        <w:t>(1)(a)</w:t>
      </w:r>
      <w:r>
        <w:t xml:space="preserve">, F.S., </w:t>
      </w:r>
      <w:r w:rsidR="009D6985">
        <w:t xml:space="preserve">establishes the following </w:t>
      </w:r>
      <w:r>
        <w:t>timeframe</w:t>
      </w:r>
      <w:r w:rsidR="009F332F">
        <w:t>s</w:t>
      </w:r>
      <w:r>
        <w:t xml:space="preserve"> for the Commission</w:t>
      </w:r>
      <w:r w:rsidR="009F332F">
        <w:t xml:space="preserve"> in a transmission line need</w:t>
      </w:r>
      <w:r w:rsidR="009D6985">
        <w:t xml:space="preserve"> determination proceeding:</w:t>
      </w:r>
    </w:p>
    <w:p w:rsidR="009D6985" w:rsidRDefault="009D6985" w:rsidP="00AB3C8D">
      <w:pPr>
        <w:jc w:val="both"/>
      </w:pPr>
    </w:p>
    <w:p w:rsidR="009D6985" w:rsidRPr="009D6985" w:rsidRDefault="009D6985" w:rsidP="009D6985">
      <w:pPr>
        <w:ind w:left="720" w:right="720"/>
        <w:jc w:val="both"/>
        <w:rPr>
          <w:szCs w:val="20"/>
          <w:shd w:val="clear" w:color="auto" w:fill="FFFFFF"/>
        </w:rPr>
      </w:pPr>
      <w:r w:rsidRPr="009D6985">
        <w:rPr>
          <w:szCs w:val="20"/>
          <w:shd w:val="clear" w:color="auto" w:fill="FFFFFF"/>
        </w:rPr>
        <w:t>Within 21 days after receipt of a request for determination by an applicant, the commission shall set a date for the hearing. The hearing shall be held pursuant to s. 350.01 within 45 days after the filing of the request, and a decision shall be rendered within 60 days after such filing.</w:t>
      </w:r>
    </w:p>
    <w:p w:rsidR="009D6985" w:rsidRDefault="009D6985" w:rsidP="00AB3C8D">
      <w:pPr>
        <w:jc w:val="both"/>
      </w:pPr>
    </w:p>
    <w:p w:rsidR="00D71AD3" w:rsidRDefault="00713739" w:rsidP="00AB3C8D">
      <w:pPr>
        <w:jc w:val="both"/>
      </w:pPr>
      <w:r>
        <w:t>Under Section 403.537(3), F.S., th</w:t>
      </w:r>
      <w:r w:rsidR="009D6985">
        <w:t>is</w:t>
      </w:r>
      <w:r>
        <w:t xml:space="preserve"> timeframe may be altered and deadlines extended if the applicant stipulates or a party demonstrates good cause. FPL has not stipulated to alter the statutory schedule in this docket. </w:t>
      </w:r>
      <w:r w:rsidR="009D6985">
        <w:t xml:space="preserve">Thus, the only question before me as Prehearing Office is whether </w:t>
      </w:r>
      <w:r>
        <w:t>EDF has demonstrated good cause to alter the schedule.</w:t>
      </w:r>
    </w:p>
    <w:p w:rsidR="009D6985" w:rsidRDefault="009D6985" w:rsidP="00AB3C8D">
      <w:pPr>
        <w:jc w:val="both"/>
      </w:pPr>
    </w:p>
    <w:p w:rsidR="00A42C3A" w:rsidRDefault="009D6985" w:rsidP="00AB3C8D">
      <w:pPr>
        <w:jc w:val="both"/>
      </w:pPr>
      <w:r>
        <w:tab/>
        <w:t xml:space="preserve">I find that EDF has not demonstrated good cause to alter the schedule in this docket. </w:t>
      </w:r>
      <w:r w:rsidR="009C759B">
        <w:t xml:space="preserve">EDF requests more time to allow </w:t>
      </w:r>
      <w:r w:rsidR="00DB1767">
        <w:t xml:space="preserve">for </w:t>
      </w:r>
      <w:r w:rsidR="009C759B">
        <w:t>FPL or an independent expert to prepare additional alternatives to the AOP</w:t>
      </w:r>
      <w:r w:rsidR="00DB1767">
        <w:t xml:space="preserve">. These alternatives would presumably be presented </w:t>
      </w:r>
      <w:r w:rsidR="009C759B">
        <w:t>for consideration by the Commission. However</w:t>
      </w:r>
      <w:r w:rsidR="00054521">
        <w:t>, t</w:t>
      </w:r>
      <w:r w:rsidR="00A42C3A">
        <w:t xml:space="preserve">he substantive criteria </w:t>
      </w:r>
      <w:r w:rsidR="00054521">
        <w:t>set forth in the statute for the Commission to consider in determining need do not</w:t>
      </w:r>
      <w:r w:rsidR="00A42C3A">
        <w:t xml:space="preserve"> require that a set number of alternatives be identified or submitted</w:t>
      </w:r>
      <w:r w:rsidR="00054521">
        <w:t>, or that third parties be allowed the opportunity to submit their chosen alternatives</w:t>
      </w:r>
      <w:r w:rsidR="00A42C3A">
        <w:t xml:space="preserve">. </w:t>
      </w:r>
      <w:r w:rsidR="00A42C3A">
        <w:rPr>
          <w:i/>
        </w:rPr>
        <w:t>See</w:t>
      </w:r>
      <w:r w:rsidR="00A42C3A">
        <w:t xml:space="preserve"> Section 403.537(1)(c), F.S.</w:t>
      </w:r>
      <w:r w:rsidR="00054521">
        <w:t xml:space="preserve"> In fact, the statute does not even use the word “alternatives.”</w:t>
      </w:r>
    </w:p>
    <w:p w:rsidR="00147FF8" w:rsidRDefault="00147FF8" w:rsidP="00AB3C8D">
      <w:pPr>
        <w:jc w:val="both"/>
      </w:pPr>
    </w:p>
    <w:p w:rsidR="00A42C3A" w:rsidRDefault="00147FF8" w:rsidP="00AB3C8D">
      <w:pPr>
        <w:jc w:val="both"/>
      </w:pPr>
      <w:r>
        <w:tab/>
      </w:r>
      <w:r w:rsidR="00A42C3A">
        <w:t>The statute gives the Commission the power to adopt rules</w:t>
      </w:r>
      <w:r w:rsidR="00457333">
        <w:t xml:space="preserve"> setting forth</w:t>
      </w:r>
      <w:r w:rsidR="00A42C3A">
        <w:t xml:space="preserve"> “the form, content, and necessary supporting documentation and the required studies for the determination of need.” Section 403.537(2)(b), F.S.</w:t>
      </w:r>
      <w:r>
        <w:t xml:space="preserve"> The </w:t>
      </w:r>
      <w:r w:rsidR="00457333">
        <w:t xml:space="preserve">adopted </w:t>
      </w:r>
      <w:r>
        <w:t xml:space="preserve">rule </w:t>
      </w:r>
      <w:r w:rsidR="00457333">
        <w:t xml:space="preserve">that </w:t>
      </w:r>
      <w:r>
        <w:t>implement</w:t>
      </w:r>
      <w:r w:rsidR="00457333">
        <w:t>s</w:t>
      </w:r>
      <w:r>
        <w:t xml:space="preserve"> this statute</w:t>
      </w:r>
      <w:r w:rsidR="00457333">
        <w:t xml:space="preserve"> addresses </w:t>
      </w:r>
      <w:r w:rsidR="004E2AB5">
        <w:t xml:space="preserve">the </w:t>
      </w:r>
      <w:r w:rsidR="00457333">
        <w:t>alternatives that are to be submitted as support in a need proceeding as follows:</w:t>
      </w:r>
    </w:p>
    <w:p w:rsidR="00147FF8" w:rsidRDefault="00147FF8" w:rsidP="00AB3C8D">
      <w:pPr>
        <w:jc w:val="both"/>
      </w:pPr>
    </w:p>
    <w:p w:rsidR="00147FF8" w:rsidRPr="00147FF8" w:rsidRDefault="00147FF8" w:rsidP="00147FF8">
      <w:pPr>
        <w:widowControl w:val="0"/>
        <w:overflowPunct w:val="0"/>
        <w:autoSpaceDE w:val="0"/>
        <w:autoSpaceDN w:val="0"/>
        <w:adjustRightInd w:val="0"/>
        <w:spacing w:line="260" w:lineRule="atLeast"/>
        <w:ind w:left="720" w:right="720"/>
        <w:jc w:val="both"/>
        <w:textAlignment w:val="baseline"/>
        <w:rPr>
          <w:noProof/>
          <w:color w:val="000000"/>
        </w:rPr>
      </w:pPr>
      <w:r w:rsidRPr="00147FF8">
        <w:rPr>
          <w:noProof/>
          <w:color w:val="000000"/>
        </w:rPr>
        <w:lastRenderedPageBreak/>
        <w:t>Petitions submitted to commence a determination of need proceeding or responses to the Commission’s order commencing a proceeding shall comply with the other requirements of Chapter 25-22, F.A.C., as to form and style and shall contain the following information:</w:t>
      </w:r>
    </w:p>
    <w:p w:rsidR="00147FF8" w:rsidRPr="00147FF8" w:rsidRDefault="00147FF8" w:rsidP="00147FF8">
      <w:pPr>
        <w:widowControl w:val="0"/>
        <w:tabs>
          <w:tab w:val="left" w:pos="360"/>
          <w:tab w:val="left" w:pos="360"/>
          <w:tab w:val="left" w:pos="360"/>
          <w:tab w:val="left" w:pos="360"/>
        </w:tabs>
        <w:overflowPunct w:val="0"/>
        <w:autoSpaceDE w:val="0"/>
        <w:autoSpaceDN w:val="0"/>
        <w:adjustRightInd w:val="0"/>
        <w:spacing w:line="260" w:lineRule="atLeast"/>
        <w:ind w:left="720" w:right="720" w:firstLine="360"/>
        <w:jc w:val="both"/>
        <w:textAlignment w:val="baseline"/>
        <w:rPr>
          <w:noProof/>
          <w:color w:val="000000"/>
        </w:rPr>
      </w:pPr>
    </w:p>
    <w:p w:rsidR="00147FF8" w:rsidRPr="00147FF8" w:rsidRDefault="00147FF8" w:rsidP="00147FF8">
      <w:pPr>
        <w:widowControl w:val="0"/>
        <w:tabs>
          <w:tab w:val="left" w:pos="360"/>
          <w:tab w:val="left" w:pos="360"/>
          <w:tab w:val="left" w:pos="360"/>
          <w:tab w:val="left" w:pos="360"/>
        </w:tabs>
        <w:overflowPunct w:val="0"/>
        <w:autoSpaceDE w:val="0"/>
        <w:autoSpaceDN w:val="0"/>
        <w:adjustRightInd w:val="0"/>
        <w:spacing w:line="260" w:lineRule="atLeast"/>
        <w:ind w:left="720" w:right="720" w:firstLine="360"/>
        <w:jc w:val="center"/>
        <w:textAlignment w:val="baseline"/>
        <w:rPr>
          <w:noProof/>
          <w:color w:val="000000"/>
        </w:rPr>
      </w:pPr>
      <w:r w:rsidRPr="00147FF8">
        <w:rPr>
          <w:noProof/>
          <w:color w:val="000000"/>
        </w:rPr>
        <w:t xml:space="preserve">*  *  *  </w:t>
      </w:r>
    </w:p>
    <w:p w:rsidR="00147FF8" w:rsidRPr="00147FF8" w:rsidRDefault="00147FF8" w:rsidP="00147FF8">
      <w:pPr>
        <w:widowControl w:val="0"/>
        <w:tabs>
          <w:tab w:val="left" w:pos="360"/>
          <w:tab w:val="left" w:pos="360"/>
          <w:tab w:val="left" w:pos="360"/>
          <w:tab w:val="left" w:pos="360"/>
        </w:tabs>
        <w:overflowPunct w:val="0"/>
        <w:autoSpaceDE w:val="0"/>
        <w:autoSpaceDN w:val="0"/>
        <w:adjustRightInd w:val="0"/>
        <w:spacing w:line="260" w:lineRule="atLeast"/>
        <w:ind w:left="720" w:right="720" w:firstLine="360"/>
        <w:jc w:val="both"/>
        <w:textAlignment w:val="baseline"/>
        <w:rPr>
          <w:noProof/>
          <w:color w:val="000000"/>
        </w:rPr>
      </w:pPr>
    </w:p>
    <w:p w:rsidR="00147FF8" w:rsidRPr="00147FF8" w:rsidRDefault="00147FF8" w:rsidP="00147FF8">
      <w:pPr>
        <w:widowControl w:val="0"/>
        <w:tabs>
          <w:tab w:val="left" w:pos="360"/>
          <w:tab w:val="left" w:pos="360"/>
          <w:tab w:val="left" w:pos="360"/>
          <w:tab w:val="left" w:pos="360"/>
        </w:tabs>
        <w:overflowPunct w:val="0"/>
        <w:autoSpaceDE w:val="0"/>
        <w:autoSpaceDN w:val="0"/>
        <w:adjustRightInd w:val="0"/>
        <w:spacing w:line="260" w:lineRule="atLeast"/>
        <w:ind w:left="720" w:right="720" w:firstLine="360"/>
        <w:jc w:val="both"/>
        <w:textAlignment w:val="baseline"/>
        <w:rPr>
          <w:noProof/>
          <w:color w:val="000000"/>
        </w:rPr>
      </w:pPr>
      <w:r w:rsidRPr="00147FF8">
        <w:rPr>
          <w:noProof/>
          <w:color w:val="000000"/>
        </w:rPr>
        <w:t xml:space="preserve">(4) A summary discussion of </w:t>
      </w:r>
      <w:r w:rsidRPr="00147FF8">
        <w:rPr>
          <w:i/>
          <w:noProof/>
          <w:color w:val="000000"/>
        </w:rPr>
        <w:t>the major alternative transmission lines or transmission improvements which were examined and evaluated by the utility in arriving at the decision to pursue the proposed project</w:t>
      </w:r>
      <w:r w:rsidRPr="00147FF8">
        <w:rPr>
          <w:noProof/>
          <w:color w:val="000000"/>
        </w:rPr>
        <w:t>. The discussion shall consist of: (a) a general description of the other transmission line alternatives, including, if appropriate, load flow analyses and electrical system diagrams showing power flows and voltage profiles on the transmission lines in the more critical operating conditions and (b) a discussion of the performance of each alternative in terms of economics, reliability, long-term flexibility and usefulness, or other relevant factors.</w:t>
      </w:r>
      <w:r>
        <w:rPr>
          <w:noProof/>
          <w:color w:val="000000"/>
        </w:rPr>
        <w:t xml:space="preserve"> [emphasis </w:t>
      </w:r>
      <w:r w:rsidR="00587C57">
        <w:rPr>
          <w:noProof/>
          <w:color w:val="000000"/>
        </w:rPr>
        <w:t>added</w:t>
      </w:r>
      <w:r>
        <w:rPr>
          <w:noProof/>
          <w:color w:val="000000"/>
        </w:rPr>
        <w:t>]</w:t>
      </w:r>
    </w:p>
    <w:p w:rsidR="00147FF8" w:rsidRPr="00A42C3A" w:rsidRDefault="00147FF8" w:rsidP="00AB3C8D">
      <w:pPr>
        <w:jc w:val="both"/>
      </w:pPr>
    </w:p>
    <w:p w:rsidR="00D71AD3" w:rsidRDefault="00147FF8" w:rsidP="00AB3C8D">
      <w:pPr>
        <w:jc w:val="both"/>
      </w:pPr>
      <w:r>
        <w:t>The italicized portion of the rule makes clear that the choice of alternative</w:t>
      </w:r>
      <w:r w:rsidR="003F7360">
        <w:t xml:space="preserve"> line</w:t>
      </w:r>
      <w:r>
        <w:t>s</w:t>
      </w:r>
      <w:r w:rsidR="003F7360">
        <w:t xml:space="preserve"> or improvements</w:t>
      </w:r>
      <w:r w:rsidR="00483BC9">
        <w:t>, including the number of alternatives to be explored,</w:t>
      </w:r>
      <w:r>
        <w:t xml:space="preserve"> is left to the utility. </w:t>
      </w:r>
      <w:r w:rsidR="009C759B">
        <w:t xml:space="preserve">Accordingly, even accepting </w:t>
      </w:r>
      <w:r w:rsidR="009C759B">
        <w:rPr>
          <w:i/>
        </w:rPr>
        <w:t>arguendo</w:t>
      </w:r>
      <w:r w:rsidR="009C759B">
        <w:t xml:space="preserve"> </w:t>
      </w:r>
      <w:r w:rsidR="00457333">
        <w:t xml:space="preserve">EDF’s assertion </w:t>
      </w:r>
      <w:r w:rsidR="009C759B">
        <w:t xml:space="preserve">that there </w:t>
      </w:r>
      <w:r w:rsidR="00457333">
        <w:t>are</w:t>
      </w:r>
      <w:r w:rsidR="009C759B">
        <w:t xml:space="preserve"> options to the AOP </w:t>
      </w:r>
      <w:r w:rsidR="00483BC9">
        <w:t xml:space="preserve">other </w:t>
      </w:r>
      <w:r w:rsidR="009C759B">
        <w:t>than those identified by FPL, t</w:t>
      </w:r>
      <w:r w:rsidR="00713739">
        <w:t>he</w:t>
      </w:r>
      <w:r w:rsidR="00372467">
        <w:t xml:space="preserve">re is </w:t>
      </w:r>
      <w:r w:rsidR="009D6985">
        <w:t xml:space="preserve">no </w:t>
      </w:r>
      <w:r w:rsidR="009D6985" w:rsidRPr="003F7360">
        <w:t>legal</w:t>
      </w:r>
      <w:r w:rsidR="009D6985">
        <w:t xml:space="preserve"> basis</w:t>
      </w:r>
      <w:r w:rsidR="00372467">
        <w:t xml:space="preserve"> for </w:t>
      </w:r>
      <w:r w:rsidR="009D6985">
        <w:t>me to</w:t>
      </w:r>
      <w:r w:rsidR="009C759B">
        <w:t xml:space="preserve"> grant the Motion on those facts.</w:t>
      </w:r>
      <w:r w:rsidR="00457333">
        <w:t xml:space="preserve"> FPL is obligated under the rule to provide a summary discussion of the alternatives it examined and evaluated. The rule contains no provision for forced consideration of additional options as a precursor to seeking a need determination from the Commission.</w:t>
      </w:r>
      <w:r w:rsidR="00483BC9">
        <w:t xml:space="preserve"> EDF’s factual arguments raise potential substantive matters to be considered by the Commission in its ultimate determination of whether </w:t>
      </w:r>
      <w:r w:rsidR="00604CA1">
        <w:t xml:space="preserve">to </w:t>
      </w:r>
      <w:r w:rsidR="00483BC9">
        <w:t>grant the Petition.</w:t>
      </w:r>
    </w:p>
    <w:p w:rsidR="00372467" w:rsidRDefault="00372467" w:rsidP="00AB3C8D">
      <w:pPr>
        <w:jc w:val="both"/>
      </w:pPr>
    </w:p>
    <w:p w:rsidR="00B64E26" w:rsidRPr="00D3631C" w:rsidRDefault="00B64E26" w:rsidP="00B64E26">
      <w:pPr>
        <w:rPr>
          <w:u w:val="single"/>
        </w:rPr>
      </w:pPr>
      <w:r w:rsidRPr="00D3631C">
        <w:rPr>
          <w:u w:val="single"/>
        </w:rPr>
        <w:t>Conclusion</w:t>
      </w:r>
    </w:p>
    <w:p w:rsidR="006A7389" w:rsidRDefault="006A7389" w:rsidP="006A7389">
      <w:pPr>
        <w:pStyle w:val="CenterUnderline"/>
        <w:jc w:val="left"/>
        <w:rPr>
          <w:u w:val="none"/>
        </w:rPr>
      </w:pPr>
    </w:p>
    <w:p w:rsidR="006A7389" w:rsidRDefault="0018221B" w:rsidP="006A7389">
      <w:pPr>
        <w:pStyle w:val="ListParagraph"/>
        <w:ind w:left="0"/>
        <w:jc w:val="both"/>
        <w:rPr>
          <w:rFonts w:ascii="Times New Roman" w:hAnsi="Times New Roman"/>
          <w:iCs/>
          <w:color w:val="212121"/>
        </w:rPr>
      </w:pPr>
      <w:r>
        <w:rPr>
          <w:rFonts w:ascii="Times New Roman" w:hAnsi="Times New Roman"/>
          <w:iCs/>
          <w:color w:val="212121"/>
        </w:rPr>
        <w:tab/>
        <w:t>EDF has not demonstrated good cause for the schedule to be altered pursuant to Section 403.537(3), F.S.</w:t>
      </w:r>
    </w:p>
    <w:p w:rsidR="0018221B" w:rsidRPr="00817318" w:rsidRDefault="0018221B" w:rsidP="006A7389">
      <w:pPr>
        <w:pStyle w:val="ListParagraph"/>
        <w:ind w:left="0"/>
        <w:jc w:val="both"/>
        <w:rPr>
          <w:rFonts w:ascii="Times New Roman" w:hAnsi="Times New Roman"/>
          <w:iCs/>
          <w:color w:val="212121"/>
        </w:rPr>
      </w:pPr>
    </w:p>
    <w:p w:rsidR="006A7389" w:rsidRPr="00817318" w:rsidRDefault="006A7389" w:rsidP="006A7389">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6A7389" w:rsidRPr="00817318" w:rsidRDefault="006A7389" w:rsidP="006A7389">
      <w:pPr>
        <w:pStyle w:val="ListParagraph"/>
        <w:ind w:left="0"/>
        <w:jc w:val="both"/>
        <w:rPr>
          <w:rFonts w:ascii="Times New Roman" w:hAnsi="Times New Roman"/>
          <w:iCs/>
          <w:color w:val="212121"/>
        </w:rPr>
      </w:pPr>
    </w:p>
    <w:p w:rsidR="006A7389" w:rsidRPr="00817318" w:rsidRDefault="006A7389" w:rsidP="006A7389">
      <w:pPr>
        <w:pStyle w:val="ListParagraph"/>
        <w:ind w:left="0"/>
        <w:jc w:val="both"/>
        <w:rPr>
          <w:rFonts w:ascii="Times New Roman" w:hAnsi="Times New Roman"/>
          <w:iCs/>
          <w:color w:val="212121"/>
        </w:rPr>
      </w:pPr>
      <w:r w:rsidRPr="00817318">
        <w:rPr>
          <w:rFonts w:ascii="Times New Roman" w:hAnsi="Times New Roman"/>
          <w:iCs/>
          <w:color w:val="212121"/>
        </w:rPr>
        <w:tab/>
        <w:t>ORDERED by Commissioner</w:t>
      </w:r>
      <w:r>
        <w:rPr>
          <w:rFonts w:ascii="Times New Roman" w:hAnsi="Times New Roman"/>
          <w:iCs/>
          <w:color w:val="212121"/>
        </w:rPr>
        <w:t xml:space="preserve"> </w:t>
      </w:r>
      <w:r w:rsidR="00CE4914">
        <w:rPr>
          <w:rFonts w:ascii="Times New Roman" w:hAnsi="Times New Roman"/>
          <w:iCs/>
          <w:color w:val="212121"/>
        </w:rPr>
        <w:t>Bobby Payne</w:t>
      </w:r>
      <w:r w:rsidRPr="00817318">
        <w:rPr>
          <w:rFonts w:ascii="Times New Roman" w:hAnsi="Times New Roman"/>
          <w:iCs/>
          <w:color w:val="212121"/>
        </w:rPr>
        <w:t xml:space="preserve">, as Prehearing Officer, that the </w:t>
      </w:r>
      <w:r>
        <w:rPr>
          <w:rFonts w:ascii="Times New Roman" w:hAnsi="Times New Roman"/>
          <w:iCs/>
          <w:color w:val="212121"/>
        </w:rPr>
        <w:t xml:space="preserve">Motion </w:t>
      </w:r>
      <w:r w:rsidR="0018221B">
        <w:rPr>
          <w:rFonts w:ascii="Times New Roman" w:hAnsi="Times New Roman"/>
          <w:iCs/>
          <w:color w:val="212121"/>
        </w:rPr>
        <w:t>to Alter Schedule filed by the Environmental Defense Fund is DENIED</w:t>
      </w:r>
      <w:r w:rsidRPr="00817318">
        <w:rPr>
          <w:rFonts w:ascii="Times New Roman" w:hAnsi="Times New Roman"/>
          <w:iCs/>
          <w:color w:val="212121"/>
        </w:rPr>
        <w:t>.</w:t>
      </w:r>
    </w:p>
    <w:p w:rsidR="006A7389" w:rsidRDefault="006A7389" w:rsidP="006A7389">
      <w:pPr>
        <w:pStyle w:val="ListParagraph"/>
        <w:ind w:left="0"/>
        <w:jc w:val="both"/>
        <w:rPr>
          <w:rFonts w:ascii="Times New Roman" w:hAnsi="Times New Roman"/>
          <w:iCs/>
          <w:color w:val="212121"/>
        </w:rPr>
      </w:pPr>
    </w:p>
    <w:p w:rsidR="00CE4914" w:rsidRDefault="00CE4914" w:rsidP="00CE4914">
      <w:pPr>
        <w:pStyle w:val="OrderBody"/>
        <w:keepNext/>
        <w:keepLines/>
      </w:pPr>
      <w:r>
        <w:lastRenderedPageBreak/>
        <w:tab/>
        <w:t xml:space="preserve">By ORDER of Commissioner Bobby Payne, as Prehearing Officer, this </w:t>
      </w:r>
      <w:bookmarkStart w:id="5" w:name="replaceDate"/>
      <w:bookmarkEnd w:id="5"/>
      <w:r w:rsidR="00EF283E">
        <w:rPr>
          <w:u w:val="single"/>
        </w:rPr>
        <w:t>10th</w:t>
      </w:r>
      <w:r w:rsidR="00EF283E">
        <w:t xml:space="preserve"> day of </w:t>
      </w:r>
      <w:r w:rsidR="00EF283E">
        <w:rPr>
          <w:u w:val="single"/>
        </w:rPr>
        <w:t>April</w:t>
      </w:r>
      <w:r w:rsidR="00EF283E">
        <w:t xml:space="preserve">, </w:t>
      </w:r>
      <w:r w:rsidR="00EF283E">
        <w:rPr>
          <w:u w:val="single"/>
        </w:rPr>
        <w:t>2026</w:t>
      </w:r>
      <w:r w:rsidR="00EF283E">
        <w:t>.</w:t>
      </w:r>
    </w:p>
    <w:p w:rsidR="00EF283E" w:rsidRPr="00EF283E" w:rsidRDefault="00EF283E" w:rsidP="00CE4914">
      <w:pPr>
        <w:pStyle w:val="OrderBody"/>
        <w:keepNext/>
        <w:keepLines/>
      </w:pPr>
    </w:p>
    <w:p w:rsidR="00CE4914" w:rsidRDefault="00CE4914" w:rsidP="00CE4914">
      <w:pPr>
        <w:pStyle w:val="OrderBody"/>
        <w:keepNext/>
        <w:keepLines/>
      </w:pPr>
    </w:p>
    <w:p w:rsidR="00CE4914" w:rsidRDefault="00CE4914" w:rsidP="00CE4914">
      <w:pPr>
        <w:pStyle w:val="OrderBody"/>
        <w:keepNext/>
        <w:keepLines/>
      </w:pPr>
    </w:p>
    <w:p w:rsidR="00EF283E" w:rsidRDefault="00EF283E" w:rsidP="00CE4914">
      <w:pPr>
        <w:pStyle w:val="OrderBody"/>
        <w:keepNext/>
        <w:keepLines/>
      </w:pPr>
    </w:p>
    <w:p w:rsidR="00EF283E" w:rsidRDefault="00EF283E" w:rsidP="00CE491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E4914" w:rsidTr="00CE4914">
        <w:tc>
          <w:tcPr>
            <w:tcW w:w="720" w:type="dxa"/>
            <w:shd w:val="clear" w:color="auto" w:fill="auto"/>
          </w:tcPr>
          <w:p w:rsidR="00CE4914" w:rsidRDefault="00CE4914" w:rsidP="00CE4914">
            <w:pPr>
              <w:pStyle w:val="OrderBody"/>
              <w:keepNext/>
              <w:keepLines/>
            </w:pPr>
            <w:bookmarkStart w:id="6" w:name="bkmrkSignature" w:colFirst="0" w:colLast="0"/>
          </w:p>
        </w:tc>
        <w:tc>
          <w:tcPr>
            <w:tcW w:w="4320" w:type="dxa"/>
            <w:tcBorders>
              <w:bottom w:val="single" w:sz="4" w:space="0" w:color="auto"/>
            </w:tcBorders>
            <w:shd w:val="clear" w:color="auto" w:fill="auto"/>
          </w:tcPr>
          <w:p w:rsidR="00CE4914" w:rsidRDefault="00CF49A6" w:rsidP="00CE4914">
            <w:pPr>
              <w:pStyle w:val="OrderBody"/>
              <w:keepNext/>
              <w:keepLines/>
            </w:pPr>
            <w:r>
              <w:t>/s/ Bobby Payne</w:t>
            </w:r>
            <w:bookmarkStart w:id="7" w:name="_GoBack"/>
            <w:bookmarkEnd w:id="7"/>
          </w:p>
        </w:tc>
      </w:tr>
      <w:bookmarkEnd w:id="6"/>
      <w:tr w:rsidR="00CE4914" w:rsidTr="00CE4914">
        <w:tc>
          <w:tcPr>
            <w:tcW w:w="720" w:type="dxa"/>
            <w:shd w:val="clear" w:color="auto" w:fill="auto"/>
          </w:tcPr>
          <w:p w:rsidR="00CE4914" w:rsidRDefault="00CE4914" w:rsidP="00CE4914">
            <w:pPr>
              <w:pStyle w:val="OrderBody"/>
              <w:keepNext/>
              <w:keepLines/>
            </w:pPr>
          </w:p>
        </w:tc>
        <w:tc>
          <w:tcPr>
            <w:tcW w:w="4320" w:type="dxa"/>
            <w:tcBorders>
              <w:top w:val="single" w:sz="4" w:space="0" w:color="auto"/>
            </w:tcBorders>
            <w:shd w:val="clear" w:color="auto" w:fill="auto"/>
          </w:tcPr>
          <w:p w:rsidR="00CE4914" w:rsidRDefault="00CE4914" w:rsidP="00CE4914">
            <w:pPr>
              <w:pStyle w:val="OrderBody"/>
              <w:keepNext/>
              <w:keepLines/>
            </w:pPr>
            <w:r>
              <w:t>BOBBY PAYNE</w:t>
            </w:r>
          </w:p>
          <w:p w:rsidR="00CE4914" w:rsidRDefault="00CE4914" w:rsidP="00CE4914">
            <w:pPr>
              <w:pStyle w:val="OrderBody"/>
              <w:keepNext/>
              <w:keepLines/>
            </w:pPr>
            <w:r>
              <w:t>Commissioner and Prehearing Officer</w:t>
            </w:r>
          </w:p>
        </w:tc>
      </w:tr>
    </w:tbl>
    <w:p w:rsidR="00CE4914" w:rsidRDefault="00CE4914" w:rsidP="00CE4914">
      <w:pPr>
        <w:pStyle w:val="OrderSigInfo"/>
        <w:keepNext/>
        <w:keepLines/>
      </w:pPr>
      <w:r>
        <w:t>Florida Public Service Commission</w:t>
      </w:r>
    </w:p>
    <w:p w:rsidR="00CE4914" w:rsidRDefault="00CE4914" w:rsidP="00CE4914">
      <w:pPr>
        <w:pStyle w:val="OrderSigInfo"/>
        <w:keepNext/>
        <w:keepLines/>
      </w:pPr>
      <w:r>
        <w:t>2540 Shumard Oak Boulevard</w:t>
      </w:r>
    </w:p>
    <w:p w:rsidR="00CE4914" w:rsidRDefault="00CE4914" w:rsidP="00CE4914">
      <w:pPr>
        <w:pStyle w:val="OrderSigInfo"/>
        <w:keepNext/>
        <w:keepLines/>
      </w:pPr>
      <w:r>
        <w:t>Tallahassee, Florida 32399</w:t>
      </w:r>
    </w:p>
    <w:p w:rsidR="00CE4914" w:rsidRDefault="00CE4914" w:rsidP="00CE4914">
      <w:pPr>
        <w:pStyle w:val="OrderSigInfo"/>
        <w:keepNext/>
        <w:keepLines/>
      </w:pPr>
      <w:r>
        <w:t>(850) 413</w:t>
      </w:r>
      <w:r>
        <w:noBreakHyphen/>
        <w:t>6770</w:t>
      </w:r>
    </w:p>
    <w:p w:rsidR="00CE4914" w:rsidRDefault="00CE4914" w:rsidP="00CE4914">
      <w:pPr>
        <w:pStyle w:val="OrderSigInfo"/>
        <w:keepNext/>
        <w:keepLines/>
      </w:pPr>
      <w:r>
        <w:t>www.floridapsc.com</w:t>
      </w:r>
    </w:p>
    <w:p w:rsidR="00CE4914" w:rsidRDefault="00CE4914" w:rsidP="00CE4914">
      <w:pPr>
        <w:pStyle w:val="OrderSigInfo"/>
        <w:keepNext/>
        <w:keepLines/>
      </w:pPr>
    </w:p>
    <w:p w:rsidR="00CE4914" w:rsidRDefault="00CE4914" w:rsidP="00CE4914">
      <w:pPr>
        <w:pStyle w:val="OrderSigInfo"/>
        <w:keepNext/>
        <w:keepLines/>
      </w:pPr>
      <w:r>
        <w:t>Copies furnished: A copy of this document is provided to the parties of record at the time of issuance and, if applicable, interested persons.</w:t>
      </w:r>
    </w:p>
    <w:p w:rsidR="00CE4914" w:rsidRDefault="00CE4914" w:rsidP="00CE4914">
      <w:pPr>
        <w:pStyle w:val="OrderBody"/>
        <w:keepNext/>
        <w:keepLines/>
      </w:pPr>
    </w:p>
    <w:p w:rsidR="00CE4914" w:rsidRDefault="00CE4914" w:rsidP="00CE4914">
      <w:pPr>
        <w:pStyle w:val="OrderBody"/>
        <w:keepNext/>
        <w:keepLines/>
      </w:pPr>
    </w:p>
    <w:p w:rsidR="00CE4914" w:rsidRDefault="00CE4914" w:rsidP="00CE4914">
      <w:pPr>
        <w:pStyle w:val="OrderBody"/>
        <w:keepNext/>
        <w:keepLines/>
      </w:pPr>
      <w:r>
        <w:t>S</w:t>
      </w:r>
      <w:r w:rsidR="006D172F">
        <w:t>PS</w:t>
      </w:r>
    </w:p>
    <w:p w:rsidR="00CE4914" w:rsidRDefault="00CE4914" w:rsidP="00CE4914">
      <w:pPr>
        <w:pStyle w:val="OrderBody"/>
      </w:pPr>
    </w:p>
    <w:p w:rsidR="00CE4914" w:rsidRDefault="00CE4914" w:rsidP="00CE4914">
      <w:pPr>
        <w:pStyle w:val="OrderBody"/>
      </w:pPr>
    </w:p>
    <w:p w:rsidR="00CE4914" w:rsidRDefault="00CE4914" w:rsidP="00CE4914">
      <w:pPr>
        <w:pStyle w:val="OrderBody"/>
      </w:pPr>
    </w:p>
    <w:p w:rsidR="00CE4914" w:rsidRDefault="00CE4914">
      <w:bookmarkStart w:id="8" w:name="OrderText"/>
      <w:bookmarkEnd w:id="8"/>
      <w:r>
        <w:br w:type="page"/>
      </w:r>
    </w:p>
    <w:p w:rsidR="00CE4914" w:rsidRDefault="00CE4914" w:rsidP="00CE4914">
      <w:pPr>
        <w:pStyle w:val="CenterUnderline"/>
      </w:pPr>
      <w:r>
        <w:lastRenderedPageBreak/>
        <w:t>NOTICE OF FURTHER PROCEEDINGS OR JUDICIAL REVIEW</w:t>
      </w:r>
    </w:p>
    <w:p w:rsidR="00CB5276" w:rsidRDefault="00CB5276" w:rsidP="00CE4914">
      <w:pPr>
        <w:pStyle w:val="CenterUnderline"/>
      </w:pPr>
    </w:p>
    <w:p w:rsidR="00CE4914" w:rsidRDefault="00CE4914" w:rsidP="00CE4914">
      <w:pPr>
        <w:pStyle w:val="OrderBody"/>
      </w:pPr>
      <w:r>
        <w:tab/>
        <w:t xml:space="preserve">The Florida Public Service Commission </w:t>
      </w:r>
      <w:r w:rsidR="00826F93">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E4914" w:rsidRDefault="00CE4914" w:rsidP="00CE4914">
      <w:pPr>
        <w:pStyle w:val="OrderBody"/>
      </w:pPr>
    </w:p>
    <w:p w:rsidR="00CE4914" w:rsidRDefault="00CE4914" w:rsidP="00CE4914">
      <w:pPr>
        <w:pStyle w:val="OrderBody"/>
      </w:pPr>
      <w:r>
        <w:tab/>
        <w:t>Mediation may be available on a case-by-case basis. If mediation is conducted, it does not affect a substantially interested person</w:t>
      </w:r>
      <w:r w:rsidR="00826F93">
        <w:t>’</w:t>
      </w:r>
      <w:r>
        <w:t>s right to a hearing.</w:t>
      </w:r>
    </w:p>
    <w:p w:rsidR="00CE4914" w:rsidRDefault="00CE4914" w:rsidP="00CE4914">
      <w:pPr>
        <w:pStyle w:val="OrderBody"/>
      </w:pPr>
    </w:p>
    <w:p w:rsidR="00CE4914" w:rsidRDefault="00CE4914" w:rsidP="00CE4914">
      <w:pPr>
        <w:pStyle w:val="OrderBody"/>
      </w:pPr>
      <w:r>
        <w:tab/>
        <w:t>Any party adversely affected by this order, which is preliminary, procedural</w:t>
      </w:r>
      <w:r w:rsidR="00826F93">
        <w:t>,</w:t>
      </w:r>
      <w:r>
        <w:t xml:space="preserve"> or intermediate in nature, may request: (1) reconsideration within 10 days pursuant to Rule 25-22.0376, Florida Administrative Code; or (2) judicial review by the Florida Supreme Court, in the case of an electric, gas</w:t>
      </w:r>
      <w:r w:rsidR="00826F93">
        <w:t>,</w:t>
      </w:r>
      <w:r>
        <w:t xml:space="preserve"> or telephone utility. A motion for reconsideration shall be filed with the Office of Commission Clerk, in the form prescribed by Rule 25-22.0376, Florida Administrative Code. Judicial review of a preliminary, procedural</w:t>
      </w:r>
      <w:r w:rsidR="00826F93">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CE4914" w:rsidRDefault="00CE4914" w:rsidP="00CE4914">
      <w:pPr>
        <w:pStyle w:val="OrderBody"/>
      </w:pPr>
    </w:p>
    <w:p w:rsidR="00CE4914" w:rsidRDefault="00CE4914" w:rsidP="00CE4914">
      <w:pPr>
        <w:pStyle w:val="OrderBody"/>
      </w:pPr>
    </w:p>
    <w:p w:rsidR="00CE4914" w:rsidRDefault="00CE4914" w:rsidP="00CE4914">
      <w:pPr>
        <w:pStyle w:val="OrderBody"/>
      </w:pPr>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389" w:rsidRDefault="006A7389">
      <w:r>
        <w:separator/>
      </w:r>
    </w:p>
  </w:endnote>
  <w:endnote w:type="continuationSeparator" w:id="0">
    <w:p w:rsidR="006A7389" w:rsidRDefault="006A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
    <w:altName w:val="Invisible OC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389" w:rsidRDefault="006A7389">
      <w:r>
        <w:separator/>
      </w:r>
    </w:p>
  </w:footnote>
  <w:footnote w:type="continuationSeparator" w:id="0">
    <w:p w:rsidR="006A7389" w:rsidRDefault="006A7389">
      <w:r>
        <w:continuationSeparator/>
      </w:r>
    </w:p>
  </w:footnote>
  <w:footnote w:id="1">
    <w:p w:rsidR="00B64E26" w:rsidRDefault="00B64E26" w:rsidP="00B64E26">
      <w:pPr>
        <w:pStyle w:val="FootnoteText"/>
      </w:pPr>
      <w:r>
        <w:rPr>
          <w:rStyle w:val="FootnoteReference"/>
        </w:rPr>
        <w:footnoteRef/>
      </w:r>
      <w:r>
        <w:t xml:space="preserve"> EDF was provisionally granted standing to participate in this docket by Order No. PSC-2026-</w:t>
      </w:r>
      <w:r w:rsidR="0044576D">
        <w:t>0083</w:t>
      </w:r>
      <w:r>
        <w:t>-</w:t>
      </w:r>
      <w:r w:rsidR="0044576D">
        <w:t>PCO-EI</w:t>
      </w:r>
      <w:r>
        <w:t>, issued April 3, 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4 ">
      <w:r w:rsidR="00CF49A6">
        <w:t>PSC-2026-0084-PCO-EI</w:t>
      </w:r>
    </w:fldSimple>
  </w:p>
  <w:p w:rsidR="00FA6EFD" w:rsidRDefault="006A7389">
    <w:pPr>
      <w:pStyle w:val="OrderHeader"/>
    </w:pPr>
    <w:bookmarkStart w:id="9" w:name="HeaderDocketNo"/>
    <w:bookmarkEnd w:id="9"/>
    <w:r>
      <w:t>DOCKET NO. 20260020-EI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49A6">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20-EI"/>
  </w:docVars>
  <w:rsids>
    <w:rsidRoot w:val="006A7389"/>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4521"/>
    <w:rsid w:val="00056229"/>
    <w:rsid w:val="00057AF1"/>
    <w:rsid w:val="00062DB8"/>
    <w:rsid w:val="00065FC2"/>
    <w:rsid w:val="00066009"/>
    <w:rsid w:val="00067685"/>
    <w:rsid w:val="00067B07"/>
    <w:rsid w:val="000730D7"/>
    <w:rsid w:val="000736B1"/>
    <w:rsid w:val="00076E6B"/>
    <w:rsid w:val="00081AE4"/>
    <w:rsid w:val="0008247D"/>
    <w:rsid w:val="00084398"/>
    <w:rsid w:val="00090035"/>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47FF8"/>
    <w:rsid w:val="001513DE"/>
    <w:rsid w:val="00154A71"/>
    <w:rsid w:val="001562B9"/>
    <w:rsid w:val="001655D4"/>
    <w:rsid w:val="00165803"/>
    <w:rsid w:val="0018221B"/>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8D0"/>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2467"/>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3DBD"/>
    <w:rsid w:val="003F49A6"/>
    <w:rsid w:val="003F518F"/>
    <w:rsid w:val="003F6BA7"/>
    <w:rsid w:val="003F7360"/>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576D"/>
    <w:rsid w:val="00447BDA"/>
    <w:rsid w:val="00451158"/>
    <w:rsid w:val="00451804"/>
    <w:rsid w:val="00453C21"/>
    <w:rsid w:val="0045537F"/>
    <w:rsid w:val="00457333"/>
    <w:rsid w:val="00457DC7"/>
    <w:rsid w:val="004640B3"/>
    <w:rsid w:val="00467A2F"/>
    <w:rsid w:val="004704F4"/>
    <w:rsid w:val="00472BCC"/>
    <w:rsid w:val="00477699"/>
    <w:rsid w:val="00480710"/>
    <w:rsid w:val="00483BC9"/>
    <w:rsid w:val="004848E2"/>
    <w:rsid w:val="00491B5A"/>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2AB5"/>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4832"/>
    <w:rsid w:val="0055595D"/>
    <w:rsid w:val="005564DB"/>
    <w:rsid w:val="00556A10"/>
    <w:rsid w:val="00557F50"/>
    <w:rsid w:val="005645FC"/>
    <w:rsid w:val="00571D3D"/>
    <w:rsid w:val="00573194"/>
    <w:rsid w:val="00574379"/>
    <w:rsid w:val="0058264B"/>
    <w:rsid w:val="00582BC4"/>
    <w:rsid w:val="00583F81"/>
    <w:rsid w:val="005850DF"/>
    <w:rsid w:val="00586368"/>
    <w:rsid w:val="005868AA"/>
    <w:rsid w:val="00587C57"/>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D7A51"/>
    <w:rsid w:val="005E751B"/>
    <w:rsid w:val="005F2751"/>
    <w:rsid w:val="005F3354"/>
    <w:rsid w:val="005F4AD6"/>
    <w:rsid w:val="0060005E"/>
    <w:rsid w:val="0060095B"/>
    <w:rsid w:val="00601266"/>
    <w:rsid w:val="00604CA1"/>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A7389"/>
    <w:rsid w:val="006B0036"/>
    <w:rsid w:val="006B0DA6"/>
    <w:rsid w:val="006B3FA9"/>
    <w:rsid w:val="006C3055"/>
    <w:rsid w:val="006C547E"/>
    <w:rsid w:val="006C6A11"/>
    <w:rsid w:val="006D172F"/>
    <w:rsid w:val="006D1898"/>
    <w:rsid w:val="006D2B51"/>
    <w:rsid w:val="006D5575"/>
    <w:rsid w:val="006D7191"/>
    <w:rsid w:val="006E21C4"/>
    <w:rsid w:val="006E42BE"/>
    <w:rsid w:val="006E5D4D"/>
    <w:rsid w:val="006E6D16"/>
    <w:rsid w:val="00703F2A"/>
    <w:rsid w:val="0070426E"/>
    <w:rsid w:val="00704C5D"/>
    <w:rsid w:val="007072BC"/>
    <w:rsid w:val="00713739"/>
    <w:rsid w:val="00715275"/>
    <w:rsid w:val="00721B44"/>
    <w:rsid w:val="007232A2"/>
    <w:rsid w:val="00726366"/>
    <w:rsid w:val="00731AB6"/>
    <w:rsid w:val="00733B6B"/>
    <w:rsid w:val="00740808"/>
    <w:rsid w:val="00740A1B"/>
    <w:rsid w:val="00742478"/>
    <w:rsid w:val="007467C4"/>
    <w:rsid w:val="00752214"/>
    <w:rsid w:val="00755702"/>
    <w:rsid w:val="007560DE"/>
    <w:rsid w:val="00756409"/>
    <w:rsid w:val="0076170F"/>
    <w:rsid w:val="0076669C"/>
    <w:rsid w:val="00766E46"/>
    <w:rsid w:val="00771018"/>
    <w:rsid w:val="00772CCB"/>
    <w:rsid w:val="00774285"/>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6F93"/>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36FD"/>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C759B"/>
    <w:rsid w:val="009D37C9"/>
    <w:rsid w:val="009D4C29"/>
    <w:rsid w:val="009D6985"/>
    <w:rsid w:val="009E58E9"/>
    <w:rsid w:val="009E6803"/>
    <w:rsid w:val="009F332F"/>
    <w:rsid w:val="009F6AD2"/>
    <w:rsid w:val="009F7C1B"/>
    <w:rsid w:val="00A00B5B"/>
    <w:rsid w:val="00A00D8D"/>
    <w:rsid w:val="00A01BB6"/>
    <w:rsid w:val="00A0713E"/>
    <w:rsid w:val="00A108A7"/>
    <w:rsid w:val="00A228DA"/>
    <w:rsid w:val="00A22B28"/>
    <w:rsid w:val="00A26DC0"/>
    <w:rsid w:val="00A3351E"/>
    <w:rsid w:val="00A36867"/>
    <w:rsid w:val="00A42C3A"/>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C8D"/>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4E26"/>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4886"/>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3245"/>
    <w:rsid w:val="00CC3495"/>
    <w:rsid w:val="00CC7E68"/>
    <w:rsid w:val="00CD0F05"/>
    <w:rsid w:val="00CD15D5"/>
    <w:rsid w:val="00CD19D5"/>
    <w:rsid w:val="00CD3D74"/>
    <w:rsid w:val="00CD7132"/>
    <w:rsid w:val="00CE0E6F"/>
    <w:rsid w:val="00CE36BA"/>
    <w:rsid w:val="00CE3B21"/>
    <w:rsid w:val="00CE4914"/>
    <w:rsid w:val="00CE56FC"/>
    <w:rsid w:val="00CE7A4D"/>
    <w:rsid w:val="00CF32D2"/>
    <w:rsid w:val="00CF49A6"/>
    <w:rsid w:val="00CF4CFE"/>
    <w:rsid w:val="00CF55E6"/>
    <w:rsid w:val="00CF67F8"/>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71AD3"/>
    <w:rsid w:val="00D80E2D"/>
    <w:rsid w:val="00D824A6"/>
    <w:rsid w:val="00D84AC2"/>
    <w:rsid w:val="00D84D5E"/>
    <w:rsid w:val="00D8560E"/>
    <w:rsid w:val="00D8758F"/>
    <w:rsid w:val="00DA4EDD"/>
    <w:rsid w:val="00DA6B78"/>
    <w:rsid w:val="00DB0671"/>
    <w:rsid w:val="00DB122B"/>
    <w:rsid w:val="00DB1767"/>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6D26"/>
    <w:rsid w:val="00EB7951"/>
    <w:rsid w:val="00ED6A79"/>
    <w:rsid w:val="00EE17DF"/>
    <w:rsid w:val="00EF1482"/>
    <w:rsid w:val="00EF283E"/>
    <w:rsid w:val="00EF4621"/>
    <w:rsid w:val="00EF4D52"/>
    <w:rsid w:val="00EF6312"/>
    <w:rsid w:val="00F00C4B"/>
    <w:rsid w:val="00F038B0"/>
    <w:rsid w:val="00F05F34"/>
    <w:rsid w:val="00F12A41"/>
    <w:rsid w:val="00F22B27"/>
    <w:rsid w:val="00F22D13"/>
    <w:rsid w:val="00F234A7"/>
    <w:rsid w:val="00F277B6"/>
    <w:rsid w:val="00F27DA5"/>
    <w:rsid w:val="00F3433D"/>
    <w:rsid w:val="00F36CDA"/>
    <w:rsid w:val="00F37E07"/>
    <w:rsid w:val="00F4182A"/>
    <w:rsid w:val="00F449C6"/>
    <w:rsid w:val="00F4639C"/>
    <w:rsid w:val="00F464ED"/>
    <w:rsid w:val="00F538AA"/>
    <w:rsid w:val="00F54380"/>
    <w:rsid w:val="00F54B47"/>
    <w:rsid w:val="00F5538C"/>
    <w:rsid w:val="00F61247"/>
    <w:rsid w:val="00F61F61"/>
    <w:rsid w:val="00F63191"/>
    <w:rsid w:val="00F6702E"/>
    <w:rsid w:val="00F70E84"/>
    <w:rsid w:val="00F80685"/>
    <w:rsid w:val="00F94968"/>
    <w:rsid w:val="00FA092B"/>
    <w:rsid w:val="00FA4BAF"/>
    <w:rsid w:val="00FA4F6C"/>
    <w:rsid w:val="00FA6EFD"/>
    <w:rsid w:val="00FB12F0"/>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11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A7389"/>
    <w:pPr>
      <w:ind w:left="720"/>
      <w:contextualSpacing/>
    </w:pPr>
    <w:rPr>
      <w:rFonts w:ascii="Calibri" w:eastAsia="Calibri" w:hAnsi="Calibri"/>
    </w:rPr>
  </w:style>
  <w:style w:type="character" w:customStyle="1" w:styleId="FootnoteTextChar">
    <w:name w:val="Footnote Text Char"/>
    <w:basedOn w:val="DefaultParagraphFont"/>
    <w:link w:val="FootnoteText"/>
    <w:uiPriority w:val="99"/>
    <w:rsid w:val="00B64E26"/>
  </w:style>
  <w:style w:type="character" w:styleId="Hyperlink">
    <w:name w:val="Hyperlink"/>
    <w:basedOn w:val="DefaultParagraphFont"/>
    <w:uiPriority w:val="99"/>
    <w:semiHidden/>
    <w:unhideWhenUsed/>
    <w:rsid w:val="009D6985"/>
    <w:rPr>
      <w:color w:val="0000FF"/>
      <w:u w:val="single"/>
    </w:rPr>
  </w:style>
  <w:style w:type="paragraph" w:customStyle="1" w:styleId="Default">
    <w:name w:val="Default"/>
    <w:rsid w:val="00A0713E"/>
    <w:pPr>
      <w:autoSpaceDE w:val="0"/>
      <w:autoSpaceDN w:val="0"/>
      <w:adjustRightInd w:val="0"/>
    </w:pPr>
    <w:rPr>
      <w:rFonts w:ascii="A" w:hAnsi="A" w:cs="A"/>
      <w:color w:val="000000"/>
      <w:sz w:val="24"/>
      <w:szCs w:val="24"/>
    </w:rPr>
  </w:style>
  <w:style w:type="paragraph" w:styleId="BalloonText">
    <w:name w:val="Balloon Text"/>
    <w:basedOn w:val="Normal"/>
    <w:link w:val="BalloonTextChar"/>
    <w:semiHidden/>
    <w:unhideWhenUsed/>
    <w:rsid w:val="00084398"/>
    <w:rPr>
      <w:rFonts w:ascii="Segoe UI" w:hAnsi="Segoe UI" w:cs="Segoe UI"/>
      <w:sz w:val="18"/>
      <w:szCs w:val="18"/>
    </w:rPr>
  </w:style>
  <w:style w:type="character" w:customStyle="1" w:styleId="BalloonTextChar">
    <w:name w:val="Balloon Text Char"/>
    <w:basedOn w:val="DefaultParagraphFont"/>
    <w:link w:val="BalloonText"/>
    <w:semiHidden/>
    <w:rsid w:val="000843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92A0F-1D2D-4F60-8FA2-5B2D6E47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5</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2026-04-10T15:47:00Z</dcterms:created>
  <dcterms:modified xsi:type="dcterms:W3CDTF">2026-04-10T16:13:00Z</dcterms:modified>
</cp:coreProperties>
</file>