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9D0" w:rsidRDefault="001509D0" w:rsidP="001509D0">
      <w:pPr>
        <w:pStyle w:val="OrderHeading"/>
      </w:pPr>
      <w:r>
        <w:t>BEFORE THE FLORIDA PUBLIC SERVICE COMMISSION</w:t>
      </w:r>
    </w:p>
    <w:p w:rsidR="001509D0" w:rsidRDefault="001509D0" w:rsidP="001509D0">
      <w:pPr>
        <w:pStyle w:val="OrderBody"/>
      </w:pPr>
    </w:p>
    <w:p w:rsidR="001509D0" w:rsidRDefault="001509D0" w:rsidP="001509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09D0" w:rsidRPr="00C63FCF" w:rsidTr="00C63FCF">
        <w:trPr>
          <w:trHeight w:val="828"/>
        </w:trPr>
        <w:tc>
          <w:tcPr>
            <w:tcW w:w="4788" w:type="dxa"/>
            <w:tcBorders>
              <w:bottom w:val="single" w:sz="8" w:space="0" w:color="auto"/>
              <w:right w:val="double" w:sz="6" w:space="0" w:color="auto"/>
            </w:tcBorders>
            <w:shd w:val="clear" w:color="auto" w:fill="auto"/>
          </w:tcPr>
          <w:p w:rsidR="001509D0" w:rsidRDefault="001509D0" w:rsidP="00C63FCF">
            <w:pPr>
              <w:pStyle w:val="OrderBody"/>
              <w:tabs>
                <w:tab w:val="center" w:pos="4320"/>
                <w:tab w:val="right" w:pos="8640"/>
              </w:tabs>
              <w:jc w:val="left"/>
            </w:pPr>
            <w:r>
              <w:t xml:space="preserve">In re: </w:t>
            </w:r>
            <w:bookmarkStart w:id="0" w:name="SSInRe"/>
            <w:bookmarkEnd w:id="0"/>
            <w:r>
              <w:t>Petition for determination of need for Andytown-Oasis transmission lines project in Broward and Miami-Dade Counties, by Florida Power &amp; Light Company.</w:t>
            </w:r>
          </w:p>
        </w:tc>
        <w:tc>
          <w:tcPr>
            <w:tcW w:w="4788" w:type="dxa"/>
            <w:tcBorders>
              <w:left w:val="double" w:sz="6" w:space="0" w:color="auto"/>
            </w:tcBorders>
            <w:shd w:val="clear" w:color="auto" w:fill="auto"/>
          </w:tcPr>
          <w:p w:rsidR="001509D0" w:rsidRDefault="001509D0" w:rsidP="001509D0">
            <w:pPr>
              <w:pStyle w:val="OrderBody"/>
            </w:pPr>
            <w:r>
              <w:t xml:space="preserve">DOCKET NO. </w:t>
            </w:r>
            <w:bookmarkStart w:id="1" w:name="SSDocketNo"/>
            <w:bookmarkEnd w:id="1"/>
            <w:r>
              <w:t>20260020-EI</w:t>
            </w:r>
          </w:p>
          <w:p w:rsidR="001509D0" w:rsidRDefault="001509D0" w:rsidP="00C63FCF">
            <w:pPr>
              <w:pStyle w:val="OrderBody"/>
              <w:tabs>
                <w:tab w:val="center" w:pos="4320"/>
                <w:tab w:val="right" w:pos="8640"/>
              </w:tabs>
              <w:jc w:val="left"/>
            </w:pPr>
            <w:r>
              <w:t xml:space="preserve">ORDER NO. </w:t>
            </w:r>
            <w:bookmarkStart w:id="2" w:name="OrderNo0098"/>
            <w:r w:rsidR="00FA5943">
              <w:t>PSC-2026-0098-PCO-EI</w:t>
            </w:r>
            <w:bookmarkEnd w:id="2"/>
          </w:p>
          <w:p w:rsidR="001509D0" w:rsidRDefault="001509D0" w:rsidP="00C63FCF">
            <w:pPr>
              <w:pStyle w:val="OrderBody"/>
              <w:tabs>
                <w:tab w:val="center" w:pos="4320"/>
                <w:tab w:val="right" w:pos="8640"/>
              </w:tabs>
              <w:jc w:val="left"/>
            </w:pPr>
            <w:r>
              <w:t xml:space="preserve">ISSUED: </w:t>
            </w:r>
            <w:r w:rsidR="00FA5943">
              <w:t>April 23, 2026</w:t>
            </w:r>
          </w:p>
        </w:tc>
      </w:tr>
    </w:tbl>
    <w:p w:rsidR="001509D0" w:rsidRDefault="001509D0" w:rsidP="001509D0"/>
    <w:p w:rsidR="00CB5276" w:rsidRDefault="00CB5276" w:rsidP="001509D0"/>
    <w:p w:rsidR="001509D0" w:rsidRDefault="001509D0" w:rsidP="001509D0">
      <w:pPr>
        <w:pStyle w:val="CenterUnderline"/>
      </w:pPr>
      <w:bookmarkStart w:id="3" w:name="Commissioners"/>
      <w:bookmarkEnd w:id="3"/>
      <w:r>
        <w:t>ORDER</w:t>
      </w:r>
      <w:bookmarkStart w:id="4" w:name="OrderTitle"/>
      <w:r>
        <w:t xml:space="preserve"> DENYING ENVIRONMENTAL DEFENSE FUND, INC</w:t>
      </w:r>
      <w:r w:rsidR="00ED44E6">
        <w:t>.</w:t>
      </w:r>
      <w:r>
        <w:t xml:space="preserve">’S </w:t>
      </w:r>
    </w:p>
    <w:p w:rsidR="00CB5276" w:rsidRDefault="001509D0" w:rsidP="001509D0">
      <w:pPr>
        <w:pStyle w:val="CenterUnderline"/>
      </w:pPr>
      <w:r>
        <w:t>MOTION</w:t>
      </w:r>
      <w:r w:rsidR="00ED44E6">
        <w:t xml:space="preserve"> TO COMPEL</w:t>
      </w:r>
      <w:r>
        <w:t xml:space="preserve"> RESPONSE TO DISCOVERY </w:t>
      </w:r>
      <w:bookmarkEnd w:id="4"/>
    </w:p>
    <w:p w:rsidR="001509D0" w:rsidRDefault="001509D0" w:rsidP="001509D0">
      <w:pPr>
        <w:pStyle w:val="CenterUnderline"/>
      </w:pPr>
    </w:p>
    <w:p w:rsidR="00233F19" w:rsidRPr="003A720C" w:rsidRDefault="00ED44E6" w:rsidP="00233F19">
      <w:pPr>
        <w:ind w:firstLine="720"/>
        <w:jc w:val="both"/>
      </w:pPr>
      <w:r w:rsidRPr="00EC28B9">
        <w:t xml:space="preserve">On February 9, 2026, pursuant to Section 403.537, Florida Statutes (F.S.), and Rule 25-22.075, Florida Administrative Code (F.A.C.), Florida Power &amp; Light Company (FPL) filed a Notice of Intent to File Petition for Transmission Lines Need Determination. FPL subsequently filed its Petition to Determine Need for Electrical Transmission Lines </w:t>
      </w:r>
      <w:r>
        <w:t xml:space="preserve">(Petition) </w:t>
      </w:r>
      <w:r w:rsidRPr="00EC28B9">
        <w:t>on March 11, 2026</w:t>
      </w:r>
      <w:r>
        <w:t xml:space="preserve">. The lines for which FPL seeks a need determination in the Petition are referred to collectively as the “Andytown-Oasis Transmission Lines Project” (AOP). Pursuant to Order </w:t>
      </w:r>
      <w:r w:rsidR="007D4F51">
        <w:t xml:space="preserve">No. PSC-2026-0056-PCO-EI (OEP), </w:t>
      </w:r>
      <w:r w:rsidR="00586C5A">
        <w:t xml:space="preserve">an April 7, 2026 discovery deadline was established and </w:t>
      </w:r>
      <w:r>
        <w:t xml:space="preserve">an evidentiary hearing on the Petition </w:t>
      </w:r>
      <w:r w:rsidR="00350454">
        <w:t>has been</w:t>
      </w:r>
      <w:r w:rsidR="007D4F51">
        <w:t xml:space="preserve"> </w:t>
      </w:r>
      <w:r>
        <w:t xml:space="preserve">scheduled for April </w:t>
      </w:r>
      <w:r w:rsidRPr="003A720C">
        <w:t>23, 2026.</w:t>
      </w:r>
    </w:p>
    <w:p w:rsidR="001509D0" w:rsidRDefault="001509D0" w:rsidP="00233F19">
      <w:pPr>
        <w:pStyle w:val="CenterUnderline"/>
        <w:jc w:val="both"/>
        <w:rPr>
          <w:u w:val="none"/>
        </w:rPr>
      </w:pPr>
    </w:p>
    <w:p w:rsidR="003F2227" w:rsidRDefault="00233F19" w:rsidP="00233F19">
      <w:pPr>
        <w:pStyle w:val="CenterUnderline"/>
        <w:jc w:val="both"/>
        <w:rPr>
          <w:u w:val="none"/>
        </w:rPr>
      </w:pPr>
      <w:r>
        <w:rPr>
          <w:u w:val="none"/>
        </w:rPr>
        <w:tab/>
        <w:t xml:space="preserve">On March 27, 2026, the Environmental Defense Fund, Inc. (EDF) served its First Set of Interrogatories (Nos. 1–28) and First Request for Production of Documents (Nos. 1–19) to FPL. FPL served its objections and responses to these </w:t>
      </w:r>
      <w:r w:rsidR="00FB4707">
        <w:rPr>
          <w:u w:val="none"/>
        </w:rPr>
        <w:t xml:space="preserve">first sets of </w:t>
      </w:r>
      <w:r>
        <w:rPr>
          <w:u w:val="none"/>
        </w:rPr>
        <w:t>discovery requests on April 3, 2026. EDF then served its Second Set of Interrogatories (Nos. 29–32) and Second Request for Production of Documents (Nos. 20–23) on April 3, 2026. FPL served its objections and responses to these second sets of disco</w:t>
      </w:r>
      <w:r w:rsidR="00586C5A">
        <w:rPr>
          <w:u w:val="none"/>
        </w:rPr>
        <w:t>very requests on April 6, 2026.</w:t>
      </w:r>
    </w:p>
    <w:p w:rsidR="00586C5A" w:rsidRDefault="00586C5A" w:rsidP="00233F19">
      <w:pPr>
        <w:pStyle w:val="CenterUnderline"/>
        <w:jc w:val="both"/>
        <w:rPr>
          <w:u w:val="none"/>
        </w:rPr>
      </w:pPr>
    </w:p>
    <w:p w:rsidR="001509D0" w:rsidRDefault="003F2227" w:rsidP="00F0341B">
      <w:pPr>
        <w:pStyle w:val="CenterUnderline"/>
        <w:jc w:val="both"/>
        <w:rPr>
          <w:u w:val="none"/>
        </w:rPr>
      </w:pPr>
      <w:r>
        <w:rPr>
          <w:u w:val="none"/>
        </w:rPr>
        <w:tab/>
        <w:t xml:space="preserve">EDF sent its first conferral letter to resolve the discovery dispute on April 13, 2026. FPL responded to that conferral letter on April 15, 2026. EDF sent a second conferral letter on April 16, 2026. </w:t>
      </w:r>
      <w:r w:rsidR="00F0341B">
        <w:rPr>
          <w:u w:val="none"/>
        </w:rPr>
        <w:t xml:space="preserve">On April 17, 2026, </w:t>
      </w:r>
      <w:r>
        <w:rPr>
          <w:u w:val="none"/>
        </w:rPr>
        <w:t xml:space="preserve">FPL responded to the second conferral letter </w:t>
      </w:r>
      <w:r w:rsidR="00F0341B">
        <w:rPr>
          <w:u w:val="none"/>
        </w:rPr>
        <w:t xml:space="preserve">via e-mail </w:t>
      </w:r>
      <w:r>
        <w:rPr>
          <w:u w:val="none"/>
        </w:rPr>
        <w:t xml:space="preserve">and expressed </w:t>
      </w:r>
      <w:r w:rsidR="00F0341B">
        <w:rPr>
          <w:u w:val="none"/>
        </w:rPr>
        <w:t>that it</w:t>
      </w:r>
      <w:r>
        <w:rPr>
          <w:u w:val="none"/>
        </w:rPr>
        <w:t xml:space="preserve"> stood behind </w:t>
      </w:r>
      <w:r w:rsidR="00F0341B">
        <w:rPr>
          <w:u w:val="none"/>
        </w:rPr>
        <w:t>the</w:t>
      </w:r>
      <w:r>
        <w:rPr>
          <w:u w:val="none"/>
        </w:rPr>
        <w:t xml:space="preserve"> objections and responses as described in </w:t>
      </w:r>
      <w:r w:rsidR="00F0341B">
        <w:rPr>
          <w:u w:val="none"/>
        </w:rPr>
        <w:t>FPL’s</w:t>
      </w:r>
      <w:r>
        <w:rPr>
          <w:u w:val="none"/>
        </w:rPr>
        <w:t xml:space="preserve"> response </w:t>
      </w:r>
      <w:r w:rsidR="00F0341B">
        <w:rPr>
          <w:u w:val="none"/>
        </w:rPr>
        <w:t>from April 15th.</w:t>
      </w:r>
    </w:p>
    <w:p w:rsidR="0053153F" w:rsidRDefault="0053153F" w:rsidP="00F0341B">
      <w:pPr>
        <w:pStyle w:val="CenterUnderline"/>
        <w:jc w:val="both"/>
        <w:rPr>
          <w:u w:val="none"/>
        </w:rPr>
      </w:pPr>
    </w:p>
    <w:p w:rsidR="0053153F" w:rsidRPr="0053153F" w:rsidRDefault="0053153F" w:rsidP="00F0341B">
      <w:pPr>
        <w:pStyle w:val="CenterUnderline"/>
        <w:jc w:val="both"/>
      </w:pPr>
      <w:r w:rsidRPr="0053153F">
        <w:t>Motion to Compel Discovery</w:t>
      </w:r>
    </w:p>
    <w:p w:rsidR="003A720C" w:rsidRDefault="003A720C" w:rsidP="00594175">
      <w:pPr>
        <w:pStyle w:val="CenterUnderline"/>
        <w:jc w:val="both"/>
        <w:rPr>
          <w:u w:val="none"/>
        </w:rPr>
      </w:pPr>
    </w:p>
    <w:p w:rsidR="00CA33E9" w:rsidRDefault="007D4F51" w:rsidP="00594175">
      <w:pPr>
        <w:pStyle w:val="CenterUnderline"/>
        <w:jc w:val="both"/>
        <w:rPr>
          <w:u w:val="none"/>
        </w:rPr>
      </w:pPr>
      <w:r>
        <w:rPr>
          <w:u w:val="none"/>
        </w:rPr>
        <w:tab/>
        <w:t>On April 17, 2026, EDF filed a Motion to Compel Florida Power &amp; Light Company to</w:t>
      </w:r>
      <w:r w:rsidR="001C17C5">
        <w:rPr>
          <w:u w:val="none"/>
        </w:rPr>
        <w:t xml:space="preserve"> Respond to Discovery (Motion). </w:t>
      </w:r>
      <w:r w:rsidR="00CA33E9">
        <w:rPr>
          <w:u w:val="none"/>
        </w:rPr>
        <w:t xml:space="preserve">EDF argues that a number of FPL’s responses to its discovery requests were legally insufficient, containing either boilerplate objections lacking specificity or simply failing to fully answer the question posed. EDF asserts that boilerplate objections </w:t>
      </w:r>
      <w:r w:rsidR="003E7E91">
        <w:rPr>
          <w:u w:val="none"/>
        </w:rPr>
        <w:t>that</w:t>
      </w:r>
      <w:r w:rsidR="00CA33E9">
        <w:rPr>
          <w:u w:val="none"/>
        </w:rPr>
        <w:t xml:space="preserve"> discovery requests are “overly burdensome” or “not relevant, and not likely to lead to the discovery of admissible evidence” </w:t>
      </w:r>
      <w:r w:rsidR="003E7E91">
        <w:rPr>
          <w:u w:val="none"/>
        </w:rPr>
        <w:t xml:space="preserve">do not comply with Rule 1.280, Florida Rules of Civil Procedure, </w:t>
      </w:r>
      <w:r w:rsidR="00CA33E9">
        <w:rPr>
          <w:u w:val="none"/>
        </w:rPr>
        <w:t xml:space="preserve">because </w:t>
      </w:r>
      <w:r w:rsidR="007417CC">
        <w:rPr>
          <w:u w:val="none"/>
        </w:rPr>
        <w:t xml:space="preserve">objections </w:t>
      </w:r>
      <w:r w:rsidR="00CA33E9">
        <w:rPr>
          <w:u w:val="none"/>
        </w:rPr>
        <w:t>must be tailored and specific to the particular discovery request at issue.</w:t>
      </w:r>
      <w:r w:rsidR="003E7E91">
        <w:rPr>
          <w:u w:val="none"/>
        </w:rPr>
        <w:t xml:space="preserve"> EDF</w:t>
      </w:r>
      <w:r w:rsidR="00E50373">
        <w:rPr>
          <w:u w:val="none"/>
        </w:rPr>
        <w:t xml:space="preserve"> concludes that </w:t>
      </w:r>
      <w:r w:rsidR="003E7E91">
        <w:rPr>
          <w:u w:val="none"/>
        </w:rPr>
        <w:t>the objecting party to a discovery request has the burden of establishing the validity of the objections.</w:t>
      </w:r>
    </w:p>
    <w:p w:rsidR="003E7E91" w:rsidRDefault="003E7E91" w:rsidP="00594175">
      <w:pPr>
        <w:pStyle w:val="CenterUnderline"/>
        <w:jc w:val="both"/>
        <w:rPr>
          <w:u w:val="none"/>
        </w:rPr>
      </w:pPr>
    </w:p>
    <w:p w:rsidR="003E7E91" w:rsidRDefault="003E7E91" w:rsidP="00594175">
      <w:pPr>
        <w:pStyle w:val="CenterUnderline"/>
        <w:jc w:val="both"/>
        <w:rPr>
          <w:u w:val="none"/>
        </w:rPr>
      </w:pPr>
      <w:r>
        <w:rPr>
          <w:u w:val="none"/>
        </w:rPr>
        <w:lastRenderedPageBreak/>
        <w:tab/>
        <w:t xml:space="preserve">EDF </w:t>
      </w:r>
      <w:r w:rsidR="00E50373">
        <w:rPr>
          <w:u w:val="none"/>
        </w:rPr>
        <w:t>also</w:t>
      </w:r>
      <w:r>
        <w:rPr>
          <w:u w:val="none"/>
        </w:rPr>
        <w:t xml:space="preserve"> argues that </w:t>
      </w:r>
      <w:r w:rsidR="007245E8">
        <w:rPr>
          <w:u w:val="none"/>
        </w:rPr>
        <w:t xml:space="preserve">the discovery it seeks </w:t>
      </w:r>
      <w:r>
        <w:rPr>
          <w:u w:val="none"/>
        </w:rPr>
        <w:t xml:space="preserve">is relevant and material because the Prehearing Order, Order No. </w:t>
      </w:r>
      <w:r w:rsidRPr="003E7E91">
        <w:rPr>
          <w:u w:val="none"/>
        </w:rPr>
        <w:t>2026-0091-PHO-EI</w:t>
      </w:r>
      <w:r>
        <w:rPr>
          <w:u w:val="none"/>
        </w:rPr>
        <w:t>, included Issues A and B to be addressed at hearing</w:t>
      </w:r>
      <w:r w:rsidR="00E50373">
        <w:rPr>
          <w:u w:val="none"/>
        </w:rPr>
        <w:t xml:space="preserve">, which touch upon </w:t>
      </w:r>
      <w:r w:rsidR="007245E8">
        <w:rPr>
          <w:u w:val="none"/>
        </w:rPr>
        <w:t>Federal Energy Regulatory Commission (FERC) Order Nos. 1000 and 1920</w:t>
      </w:r>
      <w:r>
        <w:rPr>
          <w:u w:val="none"/>
        </w:rPr>
        <w:t>.</w:t>
      </w:r>
      <w:r w:rsidR="00B441A5">
        <w:rPr>
          <w:u w:val="none"/>
        </w:rPr>
        <w:t xml:space="preserve"> EDF </w:t>
      </w:r>
      <w:r w:rsidR="00E50373">
        <w:rPr>
          <w:u w:val="none"/>
        </w:rPr>
        <w:t>further asserts</w:t>
      </w:r>
      <w:r w:rsidR="00B441A5">
        <w:rPr>
          <w:u w:val="none"/>
        </w:rPr>
        <w:t xml:space="preserve"> that its discovery questions fall within the bounds of the Transmission Line Siting Act </w:t>
      </w:r>
      <w:r w:rsidR="00C33E5A">
        <w:rPr>
          <w:u w:val="none"/>
        </w:rPr>
        <w:t xml:space="preserve">(TLSA) </w:t>
      </w:r>
      <w:r w:rsidR="00B441A5">
        <w:rPr>
          <w:u w:val="none"/>
        </w:rPr>
        <w:t>and the Florida</w:t>
      </w:r>
      <w:r w:rsidR="00E50373">
        <w:rPr>
          <w:u w:val="none"/>
        </w:rPr>
        <w:t xml:space="preserve"> Grid Bill.</w:t>
      </w:r>
      <w:r w:rsidR="00C4467C">
        <w:rPr>
          <w:u w:val="none"/>
        </w:rPr>
        <w:t xml:space="preserve"> EDF argues the scope of discovery is broad under Florida law.</w:t>
      </w:r>
    </w:p>
    <w:p w:rsidR="00C761E7" w:rsidRDefault="00C761E7" w:rsidP="00594175">
      <w:pPr>
        <w:pStyle w:val="CenterUnderline"/>
        <w:jc w:val="both"/>
        <w:rPr>
          <w:u w:val="none"/>
        </w:rPr>
      </w:pPr>
    </w:p>
    <w:p w:rsidR="003E7E91" w:rsidRDefault="00E50373" w:rsidP="00594175">
      <w:pPr>
        <w:pStyle w:val="CenterUnderline"/>
        <w:jc w:val="both"/>
        <w:rPr>
          <w:u w:val="none"/>
        </w:rPr>
      </w:pPr>
      <w:r>
        <w:rPr>
          <w:u w:val="none"/>
        </w:rPr>
        <w:tab/>
        <w:t xml:space="preserve">Finally, EDF argues that its Motion is not untimely, even though it comes after discovery has closed, because neither the Uniform Rules of Procedure </w:t>
      </w:r>
      <w:r w:rsidR="00191DB7">
        <w:rPr>
          <w:u w:val="none"/>
        </w:rPr>
        <w:t>n</w:t>
      </w:r>
      <w:r>
        <w:rPr>
          <w:u w:val="none"/>
        </w:rPr>
        <w:t xml:space="preserve">or the OEP contain a restriction on the timing of a motion to compel discovery. </w:t>
      </w:r>
      <w:r w:rsidR="00191DB7">
        <w:rPr>
          <w:u w:val="none"/>
        </w:rPr>
        <w:t>According to EDF, the timeframes in this case do not allow a party to receive discovery responses, review them, confer to resolve a dispute in good faith, and then file a motion to compel discovery. EDF concludes that FPL should not be allowed to serve insufficient discovery responses and then utilize timing deadlines as a shield against compliance with discovery obligations.</w:t>
      </w:r>
    </w:p>
    <w:p w:rsidR="007D4F51" w:rsidRDefault="007D4F51" w:rsidP="00594175">
      <w:pPr>
        <w:pStyle w:val="CenterUnderline"/>
        <w:jc w:val="both"/>
        <w:rPr>
          <w:u w:val="none"/>
        </w:rPr>
      </w:pPr>
    </w:p>
    <w:p w:rsidR="003A720C" w:rsidRPr="00226C15" w:rsidRDefault="00956BDC" w:rsidP="001509D0">
      <w:pPr>
        <w:pStyle w:val="CenterUnderline"/>
        <w:jc w:val="left"/>
      </w:pPr>
      <w:r>
        <w:t xml:space="preserve">FPL’s </w:t>
      </w:r>
      <w:r w:rsidR="003A720C" w:rsidRPr="00226C15">
        <w:t>Response to the Motion</w:t>
      </w:r>
    </w:p>
    <w:p w:rsidR="003A720C" w:rsidRDefault="003A720C" w:rsidP="00B633EA">
      <w:pPr>
        <w:pStyle w:val="CenterUnderline"/>
        <w:jc w:val="both"/>
        <w:rPr>
          <w:u w:val="none"/>
        </w:rPr>
      </w:pPr>
    </w:p>
    <w:p w:rsidR="00595DDA" w:rsidRDefault="00C761E7" w:rsidP="00B633EA">
      <w:pPr>
        <w:pStyle w:val="CenterUnderline"/>
        <w:jc w:val="both"/>
        <w:rPr>
          <w:u w:val="none"/>
        </w:rPr>
      </w:pPr>
      <w:r>
        <w:rPr>
          <w:u w:val="none"/>
        </w:rPr>
        <w:tab/>
      </w:r>
      <w:r w:rsidR="002505C1">
        <w:rPr>
          <w:u w:val="none"/>
        </w:rPr>
        <w:t xml:space="preserve">On April 20, 2026, FPL filed a Response in Opposition to EDF’s Motion to Compel (Response). </w:t>
      </w:r>
      <w:r w:rsidR="00B633EA">
        <w:rPr>
          <w:u w:val="none"/>
        </w:rPr>
        <w:t>First, FPL asserts that it timely served its objections and responses to all of EDF’</w:t>
      </w:r>
      <w:r w:rsidR="00DD59D6">
        <w:rPr>
          <w:u w:val="none"/>
        </w:rPr>
        <w:t xml:space="preserve">s discovery requests. In each circumstance, FPL alleges it either </w:t>
      </w:r>
      <w:r w:rsidR="006F663E">
        <w:rPr>
          <w:u w:val="none"/>
        </w:rPr>
        <w:t xml:space="preserve">(1) </w:t>
      </w:r>
      <w:r w:rsidR="00DD59D6">
        <w:rPr>
          <w:u w:val="none"/>
        </w:rPr>
        <w:t xml:space="preserve">properly objected on the bases of relevance or disproportionality to the needs of the case or </w:t>
      </w:r>
      <w:r w:rsidR="006F663E">
        <w:rPr>
          <w:u w:val="none"/>
        </w:rPr>
        <w:t xml:space="preserve">(2) </w:t>
      </w:r>
      <w:r w:rsidR="00DD59D6">
        <w:rPr>
          <w:u w:val="none"/>
        </w:rPr>
        <w:t>responded to the question</w:t>
      </w:r>
      <w:r w:rsidR="00C450F0">
        <w:rPr>
          <w:u w:val="none"/>
        </w:rPr>
        <w:t xml:space="preserve">, but EDF disagrees </w:t>
      </w:r>
      <w:r w:rsidR="00D40556">
        <w:rPr>
          <w:u w:val="none"/>
        </w:rPr>
        <w:t>with the answer</w:t>
      </w:r>
      <w:r w:rsidR="00DD59D6">
        <w:rPr>
          <w:u w:val="none"/>
        </w:rPr>
        <w:t xml:space="preserve">. </w:t>
      </w:r>
      <w:r w:rsidR="00B633EA">
        <w:rPr>
          <w:u w:val="none"/>
        </w:rPr>
        <w:t xml:space="preserve">FPL argues that EDF waited until after the discovery period closed to complain about dozens of FPL’s responses and thus, </w:t>
      </w:r>
      <w:r w:rsidR="0089737A">
        <w:rPr>
          <w:u w:val="none"/>
        </w:rPr>
        <w:t>FPL</w:t>
      </w:r>
      <w:r w:rsidR="00C4467C">
        <w:rPr>
          <w:u w:val="none"/>
        </w:rPr>
        <w:t xml:space="preserve"> concludes</w:t>
      </w:r>
      <w:r w:rsidR="0089737A">
        <w:rPr>
          <w:u w:val="none"/>
        </w:rPr>
        <w:t xml:space="preserve">, </w:t>
      </w:r>
      <w:r w:rsidR="00B633EA">
        <w:rPr>
          <w:u w:val="none"/>
        </w:rPr>
        <w:t>the Motion is untimely.</w:t>
      </w:r>
    </w:p>
    <w:p w:rsidR="00595DDA" w:rsidRDefault="00595DDA" w:rsidP="00B633EA">
      <w:pPr>
        <w:pStyle w:val="CenterUnderline"/>
        <w:jc w:val="both"/>
        <w:rPr>
          <w:u w:val="none"/>
        </w:rPr>
      </w:pPr>
    </w:p>
    <w:p w:rsidR="000F0A41" w:rsidRDefault="00C4467C" w:rsidP="00B633EA">
      <w:pPr>
        <w:pStyle w:val="CenterUnderline"/>
        <w:jc w:val="both"/>
        <w:rPr>
          <w:u w:val="none"/>
        </w:rPr>
      </w:pPr>
      <w:r>
        <w:rPr>
          <w:u w:val="none"/>
        </w:rPr>
        <w:tab/>
        <w:t xml:space="preserve">FPL </w:t>
      </w:r>
      <w:r w:rsidR="00EC3AB6">
        <w:rPr>
          <w:u w:val="none"/>
        </w:rPr>
        <w:t xml:space="preserve">further argues </w:t>
      </w:r>
      <w:r>
        <w:rPr>
          <w:u w:val="none"/>
        </w:rPr>
        <w:t>that discovery is not boundless. According to FPL, even under Florida’s liberal discovery rules, the information requested must be tied to a claim or defense in the pending case and proportional to the needs of that case. FPL alleges the burden of establishing relevance is on the questioner and, FPL</w:t>
      </w:r>
      <w:r w:rsidR="00EC3AB6">
        <w:rPr>
          <w:u w:val="none"/>
        </w:rPr>
        <w:t xml:space="preserve"> concludes</w:t>
      </w:r>
      <w:r>
        <w:rPr>
          <w:u w:val="none"/>
        </w:rPr>
        <w:t>, EDF has failed to demonstrate a logical, non-speculative connection between what it seeks and the actual facts and issues to be decided in the case.</w:t>
      </w:r>
      <w:r w:rsidR="000F0A41">
        <w:rPr>
          <w:u w:val="none"/>
        </w:rPr>
        <w:t xml:space="preserve"> </w:t>
      </w:r>
      <w:r w:rsidR="00FD25C4">
        <w:rPr>
          <w:u w:val="none"/>
        </w:rPr>
        <w:t>FPL notes there appears to be no dispute that regional transmission planning processes were not used or applied to identify the local need for the AOP, and thus FERC Order Nos. 1000 and 1920 are irrelevant to this proceeding.</w:t>
      </w:r>
      <w:r w:rsidR="00C33E5A">
        <w:rPr>
          <w:u w:val="none"/>
        </w:rPr>
        <w:t xml:space="preserve"> Furthermore, FPL argues the Florida Grid Bill does not convert every TLSA proceeding into a free-ranging inquiry into regional planning or invite adjudication of FERC’s regional planning regime.</w:t>
      </w:r>
    </w:p>
    <w:p w:rsidR="000F0A41" w:rsidRDefault="000F0A41" w:rsidP="00B633EA">
      <w:pPr>
        <w:pStyle w:val="CenterUnderline"/>
        <w:jc w:val="both"/>
        <w:rPr>
          <w:u w:val="none"/>
        </w:rPr>
      </w:pPr>
    </w:p>
    <w:p w:rsidR="00C4467C" w:rsidRDefault="000F0A41" w:rsidP="00B633EA">
      <w:pPr>
        <w:pStyle w:val="CenterUnderline"/>
        <w:jc w:val="both"/>
        <w:rPr>
          <w:u w:val="none"/>
        </w:rPr>
      </w:pPr>
      <w:r>
        <w:rPr>
          <w:u w:val="none"/>
        </w:rPr>
        <w:tab/>
      </w:r>
      <w:r w:rsidR="00D464AF">
        <w:rPr>
          <w:u w:val="none"/>
        </w:rPr>
        <w:t xml:space="preserve">FPL </w:t>
      </w:r>
      <w:r w:rsidR="00EC3AB6">
        <w:rPr>
          <w:u w:val="none"/>
        </w:rPr>
        <w:t xml:space="preserve">further </w:t>
      </w:r>
      <w:r w:rsidR="00D464AF">
        <w:rPr>
          <w:u w:val="none"/>
        </w:rPr>
        <w:t xml:space="preserve">alleges </w:t>
      </w:r>
      <w:r w:rsidR="00163F11">
        <w:rPr>
          <w:u w:val="none"/>
        </w:rPr>
        <w:t xml:space="preserve">that </w:t>
      </w:r>
      <w:r w:rsidR="00D464AF">
        <w:rPr>
          <w:u w:val="none"/>
        </w:rPr>
        <w:t xml:space="preserve">EDF misrepresents the ruling </w:t>
      </w:r>
      <w:r w:rsidR="00155A13">
        <w:rPr>
          <w:u w:val="none"/>
        </w:rPr>
        <w:t>in</w:t>
      </w:r>
      <w:r w:rsidR="00D464AF">
        <w:rPr>
          <w:u w:val="none"/>
        </w:rPr>
        <w:t xml:space="preserve"> the Prehearing Order because there was no finding that the FERC or Florida Reliability Coordinating Council issues raised by EDF in discovery are relevant</w:t>
      </w:r>
      <w:r w:rsidR="00EC3AB6">
        <w:rPr>
          <w:u w:val="none"/>
        </w:rPr>
        <w:t>. Rather, FPL</w:t>
      </w:r>
      <w:r>
        <w:rPr>
          <w:u w:val="none"/>
        </w:rPr>
        <w:t xml:space="preserve"> states</w:t>
      </w:r>
      <w:r w:rsidR="00EC3AB6">
        <w:rPr>
          <w:u w:val="none"/>
        </w:rPr>
        <w:t>, Issues A and B only set forth the basis on which the parties can contend whether or not these considerations are jurisdictional and relevant to the case</w:t>
      </w:r>
      <w:r w:rsidR="00955594">
        <w:rPr>
          <w:u w:val="none"/>
        </w:rPr>
        <w:t>. FPL adds that had the Prehearing Officer ruled the FERC Orders were relevant to this proceeding, those two issues as written would have been moot.</w:t>
      </w:r>
      <w:r>
        <w:rPr>
          <w:u w:val="none"/>
        </w:rPr>
        <w:t xml:space="preserve"> Thus, FPL concludes, the ruling presupposes that EDF’s evidence on FERC Order Nos. 1000 and 1920 could be wholly irrelevant and it does not signal that EDF has carte blanche to query FPL in all aspects of its participation in, and communications with, regional planning entities.</w:t>
      </w:r>
    </w:p>
    <w:p w:rsidR="003A720C" w:rsidRPr="00226C15" w:rsidRDefault="003A720C" w:rsidP="001509D0">
      <w:pPr>
        <w:pStyle w:val="CenterUnderline"/>
        <w:jc w:val="left"/>
      </w:pPr>
      <w:r w:rsidRPr="00226C15">
        <w:lastRenderedPageBreak/>
        <w:t>Analysis</w:t>
      </w:r>
    </w:p>
    <w:p w:rsidR="003A720C" w:rsidRDefault="003A720C" w:rsidP="008E151F">
      <w:pPr>
        <w:pStyle w:val="CenterUnderline"/>
        <w:jc w:val="both"/>
        <w:rPr>
          <w:u w:val="none"/>
        </w:rPr>
      </w:pPr>
    </w:p>
    <w:p w:rsidR="00226C15" w:rsidRPr="00226C15" w:rsidRDefault="00EE7FB6" w:rsidP="008E151F">
      <w:pPr>
        <w:pStyle w:val="CenterUnderline"/>
        <w:jc w:val="both"/>
        <w:rPr>
          <w:u w:val="none"/>
        </w:rPr>
      </w:pPr>
      <w:r>
        <w:rPr>
          <w:u w:val="none"/>
        </w:rPr>
        <w:tab/>
      </w:r>
      <w:r w:rsidR="00226C15" w:rsidRPr="00226C15">
        <w:rPr>
          <w:u w:val="none"/>
        </w:rPr>
        <w:t>Rule 28-106.206, F.A.C., provides that:</w:t>
      </w:r>
    </w:p>
    <w:p w:rsidR="00226C15" w:rsidRPr="00226C15" w:rsidRDefault="00226C15" w:rsidP="008E151F">
      <w:pPr>
        <w:pStyle w:val="CenterUnderline"/>
        <w:jc w:val="both"/>
        <w:rPr>
          <w:u w:val="none"/>
        </w:rPr>
      </w:pPr>
    </w:p>
    <w:p w:rsidR="00226C15" w:rsidRPr="00226C15" w:rsidRDefault="00226C15" w:rsidP="00BF0AD1">
      <w:pPr>
        <w:pStyle w:val="CenterUnderline"/>
        <w:ind w:left="720" w:right="720"/>
        <w:jc w:val="both"/>
        <w:rPr>
          <w:u w:val="none"/>
        </w:rPr>
      </w:pPr>
      <w:r w:rsidRPr="00226C15">
        <w:rPr>
          <w:u w:val="none"/>
        </w:rPr>
        <w:t>After commencement of a proceeding, parties may obtain discovery through the means and in the manner provided in Rules 1.280 through 1.400, Florida Rules of Civil Procedure. The presiding officer may issue appropriate orders to effectuate the purposes of discovery and to prevent delay, including the imposition of sanctions in accordance with the Florida Rules of Civil Procedure, except contempt.</w:t>
      </w:r>
    </w:p>
    <w:p w:rsidR="00226C15" w:rsidRPr="00226C15" w:rsidRDefault="00226C15" w:rsidP="008E151F">
      <w:pPr>
        <w:pStyle w:val="CenterUnderline"/>
        <w:jc w:val="both"/>
        <w:rPr>
          <w:u w:val="none"/>
        </w:rPr>
      </w:pPr>
    </w:p>
    <w:p w:rsidR="00C10E77" w:rsidRDefault="00447821" w:rsidP="008E151F">
      <w:pPr>
        <w:pStyle w:val="CenterUnderline"/>
        <w:jc w:val="both"/>
        <w:rPr>
          <w:u w:val="none"/>
        </w:rPr>
      </w:pPr>
      <w:r>
        <w:rPr>
          <w:u w:val="none"/>
        </w:rPr>
        <w:tab/>
      </w:r>
      <w:r w:rsidR="006C6755">
        <w:rPr>
          <w:u w:val="none"/>
        </w:rPr>
        <w:t>W</w:t>
      </w:r>
      <w:r w:rsidR="00226C15" w:rsidRPr="00226C15">
        <w:rPr>
          <w:u w:val="none"/>
        </w:rPr>
        <w:t xml:space="preserve">hile the scope of discovery is generally broad, courts possess “significant discretion” in regulating the discovery process. </w:t>
      </w:r>
      <w:r w:rsidR="00B9079F" w:rsidRPr="00B9079F">
        <w:rPr>
          <w:i/>
          <w:u w:val="none"/>
        </w:rPr>
        <w:t>Adkins v. Sotolongo</w:t>
      </w:r>
      <w:r w:rsidR="00B9079F" w:rsidRPr="00B9079F">
        <w:rPr>
          <w:u w:val="none"/>
        </w:rPr>
        <w:t>, 337 So. 3d 110 (Fla. 3d DCA 2021).</w:t>
      </w:r>
      <w:r w:rsidR="00B9079F">
        <w:rPr>
          <w:u w:val="none"/>
        </w:rPr>
        <w:t xml:space="preserve"> </w:t>
      </w:r>
      <w:r w:rsidR="00F170CD">
        <w:rPr>
          <w:u w:val="none"/>
        </w:rPr>
        <w:t xml:space="preserve">“The trial court is given wide discretion in dealing with discovery matters, and unless there has been a clear abuse of discretion, the trial court’s order will not be disturbed by the appellate court.” </w:t>
      </w:r>
      <w:r w:rsidR="00F170CD" w:rsidRPr="00890A2D">
        <w:rPr>
          <w:i/>
          <w:u w:val="none"/>
        </w:rPr>
        <w:t>American Funding, Ltd. v. Hill</w:t>
      </w:r>
      <w:r w:rsidR="00F170CD">
        <w:rPr>
          <w:u w:val="none"/>
        </w:rPr>
        <w:t xml:space="preserve">, 402 So.2d 1369, 1371 (Fla. 1st DCA 1981). </w:t>
      </w:r>
      <w:r w:rsidR="00890A2D">
        <w:rPr>
          <w:u w:val="none"/>
        </w:rPr>
        <w:t xml:space="preserve">A party must demonstrate diligence in obtaining the discovery it seeks. </w:t>
      </w:r>
      <w:r w:rsidR="00890A2D" w:rsidRPr="00890A2D">
        <w:rPr>
          <w:i/>
          <w:u w:val="none"/>
        </w:rPr>
        <w:t>See Southern California Funding, Inc. v. Hutto</w:t>
      </w:r>
      <w:r w:rsidR="00890A2D">
        <w:rPr>
          <w:u w:val="none"/>
        </w:rPr>
        <w:t>, 438 So. 2</w:t>
      </w:r>
      <w:r w:rsidR="00C10E77">
        <w:rPr>
          <w:u w:val="none"/>
        </w:rPr>
        <w:t>d 426, 432 (Fla. 1st DCA 1983).</w:t>
      </w:r>
    </w:p>
    <w:p w:rsidR="00C10E77" w:rsidRDefault="00C10E77" w:rsidP="008E151F">
      <w:pPr>
        <w:pStyle w:val="CenterUnderline"/>
        <w:jc w:val="both"/>
        <w:rPr>
          <w:u w:val="none"/>
        </w:rPr>
      </w:pPr>
    </w:p>
    <w:p w:rsidR="007417CC" w:rsidRDefault="00C10E77" w:rsidP="008E151F">
      <w:pPr>
        <w:pStyle w:val="CenterUnderline"/>
        <w:jc w:val="both"/>
        <w:rPr>
          <w:u w:val="none"/>
        </w:rPr>
      </w:pPr>
      <w:r>
        <w:rPr>
          <w:u w:val="none"/>
        </w:rPr>
        <w:tab/>
        <w:t xml:space="preserve">Because I find EDF’s Motion to be untimely, I do not reach the underlying arguments raised by the parties as to the merits of the Motion. </w:t>
      </w:r>
      <w:r w:rsidR="00890A2D">
        <w:rPr>
          <w:u w:val="none"/>
        </w:rPr>
        <w:t>FPL points out that the OEP, issued on March 12, 2026, established the governing timeframes in this docket</w:t>
      </w:r>
      <w:r w:rsidR="002F13C7">
        <w:rPr>
          <w:u w:val="none"/>
        </w:rPr>
        <w:t>,</w:t>
      </w:r>
      <w:r w:rsidR="00890A2D">
        <w:rPr>
          <w:u w:val="none"/>
        </w:rPr>
        <w:t xml:space="preserve"> pursuant to Section 403.537(1)(a), F.S. </w:t>
      </w:r>
      <w:r w:rsidR="002F13C7">
        <w:rPr>
          <w:u w:val="none"/>
        </w:rPr>
        <w:t>T</w:t>
      </w:r>
      <w:r w:rsidR="00EB4E7F">
        <w:rPr>
          <w:u w:val="none"/>
        </w:rPr>
        <w:t xml:space="preserve">he discovery deadline was established </w:t>
      </w:r>
      <w:r w:rsidR="004C73F1">
        <w:rPr>
          <w:u w:val="none"/>
        </w:rPr>
        <w:t xml:space="preserve">at that time </w:t>
      </w:r>
      <w:r w:rsidR="00EB4E7F">
        <w:rPr>
          <w:u w:val="none"/>
        </w:rPr>
        <w:t xml:space="preserve">as April 7, 2026. </w:t>
      </w:r>
      <w:r w:rsidR="00DD2D9D">
        <w:rPr>
          <w:u w:val="none"/>
        </w:rPr>
        <w:t>EDF has been on notice of the time limitations in this docket and the speed with which discovery responses must be served.</w:t>
      </w:r>
      <w:r w:rsidR="007417CC">
        <w:rPr>
          <w:u w:val="none"/>
        </w:rPr>
        <w:t xml:space="preserve"> To that same end, the O</w:t>
      </w:r>
      <w:r w:rsidR="00675364">
        <w:rPr>
          <w:u w:val="none"/>
        </w:rPr>
        <w:t>EP</w:t>
      </w:r>
      <w:r w:rsidR="007417CC">
        <w:rPr>
          <w:u w:val="none"/>
        </w:rPr>
        <w:t xml:space="preserve"> directed the parties to address discovery disputes on an expedited timeframe:</w:t>
      </w:r>
    </w:p>
    <w:p w:rsidR="007417CC" w:rsidRDefault="007417CC" w:rsidP="007417CC">
      <w:pPr>
        <w:ind w:firstLine="720"/>
        <w:jc w:val="both"/>
      </w:pPr>
    </w:p>
    <w:p w:rsidR="007417CC" w:rsidRDefault="007417CC" w:rsidP="00675364">
      <w:pPr>
        <w:ind w:left="720" w:right="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Pr="00C1413F">
        <w:rPr>
          <w:rFonts w:cs="Courier New"/>
        </w:rPr>
        <w:t>4 days</w:t>
      </w:r>
      <w:r>
        <w:rPr>
          <w:rFonts w:cs="Courier New"/>
        </w:rPr>
        <w:t xml:space="preserve"> of service of the discovery request. </w:t>
      </w:r>
      <w:r w:rsidRPr="0069347E">
        <w:rPr>
          <w:rFonts w:cs="Courier New"/>
        </w:rPr>
        <w:t xml:space="preserve">For discovery requests served after the </w:t>
      </w:r>
      <w:r>
        <w:rPr>
          <w:rFonts w:cs="Courier New"/>
        </w:rPr>
        <w:t>filing of</w:t>
      </w:r>
      <w:r w:rsidRPr="0069347E">
        <w:rPr>
          <w:rFonts w:cs="Courier New"/>
        </w:rPr>
        <w:t xml:space="preserve"> rebuttal testimony, such clarifi</w:t>
      </w:r>
      <w:r>
        <w:rPr>
          <w:rFonts w:cs="Courier New"/>
        </w:rPr>
        <w:t xml:space="preserve">cation must be requested within </w:t>
      </w:r>
      <w:r w:rsidRPr="00C1413F">
        <w:rPr>
          <w:rFonts w:cs="Courier New"/>
        </w:rPr>
        <w:t>1 day</w:t>
      </w:r>
      <w:r>
        <w:rPr>
          <w:rFonts w:cs="Courier New"/>
        </w:rPr>
        <w:t>. This procedure is intended to reduce delay in resolving discovery disputes.</w:t>
      </w:r>
      <w:r>
        <w:rPr>
          <w:rStyle w:val="FootnoteReference"/>
          <w:rFonts w:cs="Courier New"/>
        </w:rPr>
        <w:footnoteReference w:id="1"/>
      </w:r>
    </w:p>
    <w:p w:rsidR="007417CC" w:rsidRDefault="007417CC" w:rsidP="008E151F">
      <w:pPr>
        <w:pStyle w:val="CenterUnderline"/>
        <w:jc w:val="both"/>
        <w:rPr>
          <w:u w:val="none"/>
        </w:rPr>
      </w:pPr>
    </w:p>
    <w:p w:rsidR="00BA5348" w:rsidRDefault="007417CC" w:rsidP="008E151F">
      <w:pPr>
        <w:pStyle w:val="CenterUnderline"/>
        <w:jc w:val="both"/>
        <w:rPr>
          <w:u w:val="none"/>
        </w:rPr>
      </w:pPr>
      <w:r>
        <w:rPr>
          <w:u w:val="none"/>
        </w:rPr>
        <w:tab/>
      </w:r>
      <w:r w:rsidR="00DD2D9D">
        <w:rPr>
          <w:u w:val="none"/>
        </w:rPr>
        <w:t xml:space="preserve">Despite this context, EDF </w:t>
      </w:r>
      <w:r w:rsidR="00EB4E7F">
        <w:rPr>
          <w:u w:val="none"/>
        </w:rPr>
        <w:t>did not confer with FPL on the alleged discovery response deficiencies until April 13, 2026—10 days after FPL provided its first set of discovery responses</w:t>
      </w:r>
      <w:r w:rsidR="002F13C7">
        <w:rPr>
          <w:u w:val="none"/>
        </w:rPr>
        <w:t xml:space="preserve"> and 6 days after the discovery period had concluded.</w:t>
      </w:r>
      <w:r w:rsidR="004C73F1">
        <w:rPr>
          <w:u w:val="none"/>
        </w:rPr>
        <w:t xml:space="preserve"> I</w:t>
      </w:r>
      <w:r w:rsidR="00EB4E7F">
        <w:rPr>
          <w:u w:val="none"/>
        </w:rPr>
        <w:t xml:space="preserve">f FPL’s responses were as </w:t>
      </w:r>
      <w:r w:rsidR="002F13C7">
        <w:rPr>
          <w:u w:val="none"/>
        </w:rPr>
        <w:t xml:space="preserve">facially </w:t>
      </w:r>
      <w:r w:rsidR="00EB4E7F">
        <w:rPr>
          <w:u w:val="none"/>
        </w:rPr>
        <w:t xml:space="preserve">inadequate as EDF </w:t>
      </w:r>
      <w:r w:rsidR="002F13C7">
        <w:rPr>
          <w:u w:val="none"/>
        </w:rPr>
        <w:t xml:space="preserve">seems to </w:t>
      </w:r>
      <w:r w:rsidR="00EB4E7F">
        <w:rPr>
          <w:u w:val="none"/>
        </w:rPr>
        <w:t>allege, the inadequacies should have been readily apparent</w:t>
      </w:r>
      <w:r w:rsidR="002F13C7">
        <w:rPr>
          <w:u w:val="none"/>
        </w:rPr>
        <w:t xml:space="preserve">. Meaning </w:t>
      </w:r>
      <w:r w:rsidR="00EB4E7F">
        <w:rPr>
          <w:u w:val="none"/>
        </w:rPr>
        <w:t xml:space="preserve">EDF should have initiated the conferral process sooner, </w:t>
      </w:r>
      <w:r w:rsidR="002F13C7">
        <w:rPr>
          <w:u w:val="none"/>
        </w:rPr>
        <w:t>filed its motion to compel before the discovery deadline, or moved to briefly extend the discovery</w:t>
      </w:r>
      <w:r w:rsidR="00EB4E7F">
        <w:rPr>
          <w:u w:val="none"/>
        </w:rPr>
        <w:t xml:space="preserve"> </w:t>
      </w:r>
      <w:r w:rsidR="002F13C7">
        <w:rPr>
          <w:u w:val="none"/>
        </w:rPr>
        <w:t>window in accordance with Rule 28-106.204, F.A.C.</w:t>
      </w:r>
      <w:r w:rsidR="00785813">
        <w:rPr>
          <w:u w:val="none"/>
        </w:rPr>
        <w:t>, to permit review or conferral.</w:t>
      </w:r>
      <w:r w:rsidR="002F13C7">
        <w:rPr>
          <w:u w:val="none"/>
        </w:rPr>
        <w:t xml:space="preserve"> To reopen discovery</w:t>
      </w:r>
      <w:r w:rsidR="004C73F1">
        <w:rPr>
          <w:u w:val="none"/>
        </w:rPr>
        <w:t xml:space="preserve"> on a motion </w:t>
      </w:r>
      <w:r w:rsidR="004C73F1">
        <w:rPr>
          <w:u w:val="none"/>
        </w:rPr>
        <w:lastRenderedPageBreak/>
        <w:t xml:space="preserve">filed four business days prior to hearing </w:t>
      </w:r>
      <w:r w:rsidR="00785813">
        <w:rPr>
          <w:u w:val="none"/>
        </w:rPr>
        <w:t>would</w:t>
      </w:r>
      <w:r w:rsidR="004C73F1">
        <w:rPr>
          <w:u w:val="none"/>
        </w:rPr>
        <w:t xml:space="preserve"> cause delay and increase the expense </w:t>
      </w:r>
      <w:r w:rsidR="00785813">
        <w:rPr>
          <w:u w:val="none"/>
        </w:rPr>
        <w:t>in the timely disposition of this case.</w:t>
      </w:r>
    </w:p>
    <w:p w:rsidR="007D55F0" w:rsidRPr="007D55F0" w:rsidRDefault="007D55F0" w:rsidP="008E151F">
      <w:pPr>
        <w:pStyle w:val="CenterUnderline"/>
        <w:jc w:val="both"/>
        <w:rPr>
          <w:u w:val="none"/>
        </w:rPr>
      </w:pPr>
    </w:p>
    <w:p w:rsidR="003A720C" w:rsidRPr="00226C15" w:rsidRDefault="003A720C" w:rsidP="001509D0">
      <w:pPr>
        <w:pStyle w:val="CenterUnderline"/>
        <w:jc w:val="left"/>
      </w:pPr>
      <w:r w:rsidRPr="00226C15">
        <w:t>Conclusion</w:t>
      </w:r>
    </w:p>
    <w:p w:rsidR="001509D0" w:rsidRPr="003A720C" w:rsidRDefault="001509D0" w:rsidP="001509D0">
      <w:pPr>
        <w:pStyle w:val="CenterUnderline"/>
        <w:jc w:val="left"/>
        <w:rPr>
          <w:u w:val="none"/>
        </w:rPr>
      </w:pPr>
    </w:p>
    <w:p w:rsidR="001509D0" w:rsidRDefault="004C73F1" w:rsidP="001509D0">
      <w:pPr>
        <w:pStyle w:val="CenterUnderline"/>
        <w:jc w:val="left"/>
        <w:rPr>
          <w:u w:val="none"/>
        </w:rPr>
      </w:pPr>
      <w:r>
        <w:rPr>
          <w:u w:val="none"/>
        </w:rPr>
        <w:tab/>
      </w:r>
      <w:r w:rsidR="00D118A5">
        <w:rPr>
          <w:u w:val="none"/>
        </w:rPr>
        <w:t xml:space="preserve">The Motion </w:t>
      </w:r>
      <w:r>
        <w:rPr>
          <w:u w:val="none"/>
        </w:rPr>
        <w:t xml:space="preserve">is untimely </w:t>
      </w:r>
      <w:r w:rsidR="00785813">
        <w:rPr>
          <w:u w:val="none"/>
        </w:rPr>
        <w:t xml:space="preserve">because it was filed after </w:t>
      </w:r>
      <w:r w:rsidR="00D118A5">
        <w:rPr>
          <w:u w:val="none"/>
        </w:rPr>
        <w:t>the discovery deadline had expired.</w:t>
      </w:r>
    </w:p>
    <w:p w:rsidR="001509D0" w:rsidRPr="00817318" w:rsidRDefault="001509D0" w:rsidP="001509D0">
      <w:pPr>
        <w:pStyle w:val="ListParagraph"/>
        <w:ind w:left="0"/>
        <w:jc w:val="both"/>
        <w:rPr>
          <w:rFonts w:ascii="Times New Roman" w:hAnsi="Times New Roman"/>
          <w:iCs/>
          <w:color w:val="212121"/>
        </w:rPr>
      </w:pPr>
    </w:p>
    <w:p w:rsidR="001509D0" w:rsidRPr="00817318" w:rsidRDefault="001509D0" w:rsidP="001509D0">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1509D0" w:rsidRPr="00817318" w:rsidRDefault="001509D0" w:rsidP="001509D0">
      <w:pPr>
        <w:pStyle w:val="ListParagraph"/>
        <w:ind w:left="0"/>
        <w:jc w:val="both"/>
        <w:rPr>
          <w:rFonts w:ascii="Times New Roman" w:hAnsi="Times New Roman"/>
          <w:iCs/>
          <w:color w:val="212121"/>
        </w:rPr>
      </w:pPr>
    </w:p>
    <w:p w:rsidR="001509D0" w:rsidRPr="00817318" w:rsidRDefault="001509D0" w:rsidP="001509D0">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sidR="006F32E5">
        <w:rPr>
          <w:rFonts w:ascii="Times New Roman" w:hAnsi="Times New Roman"/>
          <w:iCs/>
          <w:color w:val="212121"/>
        </w:rPr>
        <w:t xml:space="preserve"> Bobby Payne</w:t>
      </w:r>
      <w:r w:rsidRPr="00817318">
        <w:rPr>
          <w:rFonts w:ascii="Times New Roman" w:hAnsi="Times New Roman"/>
          <w:iCs/>
          <w:color w:val="212121"/>
        </w:rPr>
        <w:t xml:space="preserve">, as Prehearing Officer, that the </w:t>
      </w:r>
      <w:r w:rsidR="00785813">
        <w:rPr>
          <w:rFonts w:ascii="Times New Roman" w:hAnsi="Times New Roman"/>
          <w:iCs/>
          <w:color w:val="212121"/>
        </w:rPr>
        <w:t>Environmental Defense Fund Inc.’s Motion to Compel Florida Power &amp; Light Company to Respond to Discovery is DENIED.</w:t>
      </w:r>
    </w:p>
    <w:p w:rsidR="001509D0" w:rsidRDefault="001509D0" w:rsidP="001509D0">
      <w:pPr>
        <w:pStyle w:val="ListParagraph"/>
        <w:ind w:left="0"/>
        <w:jc w:val="both"/>
        <w:rPr>
          <w:rFonts w:ascii="Times New Roman" w:hAnsi="Times New Roman"/>
          <w:iCs/>
          <w:color w:val="212121"/>
        </w:rPr>
      </w:pPr>
    </w:p>
    <w:p w:rsidR="006F32E5" w:rsidRDefault="006F32E5" w:rsidP="006F32E5">
      <w:pPr>
        <w:pStyle w:val="OrderBody"/>
        <w:keepNext/>
        <w:keepLines/>
      </w:pPr>
      <w:r>
        <w:tab/>
        <w:t xml:space="preserve">By ORDER of Commissioner Bobby Payne, as Prehearing Officer, this </w:t>
      </w:r>
      <w:bookmarkStart w:id="5" w:name="replaceDate"/>
      <w:bookmarkEnd w:id="5"/>
      <w:r w:rsidR="00FA5943">
        <w:rPr>
          <w:u w:val="single"/>
        </w:rPr>
        <w:t>23rd</w:t>
      </w:r>
      <w:r w:rsidR="00FA5943">
        <w:t xml:space="preserve"> day of </w:t>
      </w:r>
      <w:r w:rsidR="00FA5943">
        <w:rPr>
          <w:u w:val="single"/>
        </w:rPr>
        <w:t>April</w:t>
      </w:r>
      <w:r w:rsidR="00FA5943">
        <w:t xml:space="preserve">, </w:t>
      </w:r>
      <w:r w:rsidR="00FA5943">
        <w:rPr>
          <w:u w:val="single"/>
        </w:rPr>
        <w:t>2026</w:t>
      </w:r>
      <w:r w:rsidR="00FA5943">
        <w:t>.</w:t>
      </w:r>
    </w:p>
    <w:p w:rsidR="00FA5943" w:rsidRPr="00FA5943" w:rsidRDefault="00FA5943" w:rsidP="006F32E5">
      <w:pPr>
        <w:pStyle w:val="OrderBody"/>
        <w:keepNext/>
        <w:keepLines/>
      </w:pPr>
    </w:p>
    <w:p w:rsidR="006F32E5" w:rsidRDefault="006F32E5" w:rsidP="006F32E5">
      <w:pPr>
        <w:pStyle w:val="OrderBody"/>
        <w:keepNext/>
        <w:keepLines/>
      </w:pPr>
    </w:p>
    <w:p w:rsidR="00687318" w:rsidRDefault="00687318" w:rsidP="006F32E5">
      <w:pPr>
        <w:pStyle w:val="OrderBody"/>
        <w:keepNext/>
        <w:keepLines/>
      </w:pPr>
    </w:p>
    <w:p w:rsidR="00687318" w:rsidRDefault="00687318" w:rsidP="006F32E5">
      <w:pPr>
        <w:pStyle w:val="OrderBody"/>
        <w:keepNext/>
        <w:keepLines/>
      </w:pPr>
    </w:p>
    <w:p w:rsidR="006F32E5" w:rsidRDefault="006F32E5" w:rsidP="006F32E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F32E5" w:rsidTr="006F32E5">
        <w:tc>
          <w:tcPr>
            <w:tcW w:w="720" w:type="dxa"/>
            <w:shd w:val="clear" w:color="auto" w:fill="auto"/>
          </w:tcPr>
          <w:p w:rsidR="006F32E5" w:rsidRDefault="006F32E5" w:rsidP="006F32E5">
            <w:pPr>
              <w:pStyle w:val="OrderBody"/>
              <w:keepNext/>
              <w:keepLines/>
            </w:pPr>
            <w:bookmarkStart w:id="6" w:name="bkmrkSignature" w:colFirst="0" w:colLast="0"/>
          </w:p>
        </w:tc>
        <w:tc>
          <w:tcPr>
            <w:tcW w:w="4320" w:type="dxa"/>
            <w:tcBorders>
              <w:bottom w:val="single" w:sz="4" w:space="0" w:color="auto"/>
            </w:tcBorders>
            <w:shd w:val="clear" w:color="auto" w:fill="auto"/>
          </w:tcPr>
          <w:p w:rsidR="006F32E5" w:rsidRDefault="001C448E" w:rsidP="006F32E5">
            <w:pPr>
              <w:pStyle w:val="OrderBody"/>
              <w:keepNext/>
              <w:keepLines/>
            </w:pPr>
            <w:r>
              <w:t>/s/ Bobby Payne</w:t>
            </w:r>
            <w:bookmarkStart w:id="7" w:name="_GoBack"/>
            <w:bookmarkEnd w:id="7"/>
          </w:p>
        </w:tc>
      </w:tr>
      <w:bookmarkEnd w:id="6"/>
      <w:tr w:rsidR="006F32E5" w:rsidTr="006F32E5">
        <w:tc>
          <w:tcPr>
            <w:tcW w:w="720" w:type="dxa"/>
            <w:shd w:val="clear" w:color="auto" w:fill="auto"/>
          </w:tcPr>
          <w:p w:rsidR="006F32E5" w:rsidRDefault="006F32E5" w:rsidP="006F32E5">
            <w:pPr>
              <w:pStyle w:val="OrderBody"/>
              <w:keepNext/>
              <w:keepLines/>
            </w:pPr>
          </w:p>
        </w:tc>
        <w:tc>
          <w:tcPr>
            <w:tcW w:w="4320" w:type="dxa"/>
            <w:tcBorders>
              <w:top w:val="single" w:sz="4" w:space="0" w:color="auto"/>
            </w:tcBorders>
            <w:shd w:val="clear" w:color="auto" w:fill="auto"/>
          </w:tcPr>
          <w:p w:rsidR="006F32E5" w:rsidRDefault="006F32E5" w:rsidP="006F32E5">
            <w:pPr>
              <w:pStyle w:val="OrderBody"/>
              <w:keepNext/>
              <w:keepLines/>
            </w:pPr>
            <w:r>
              <w:t>BOBBY PAYNE</w:t>
            </w:r>
          </w:p>
          <w:p w:rsidR="006F32E5" w:rsidRDefault="006F32E5" w:rsidP="006F32E5">
            <w:pPr>
              <w:pStyle w:val="OrderBody"/>
              <w:keepNext/>
              <w:keepLines/>
            </w:pPr>
            <w:r>
              <w:t>Commissioner and Prehearing Officer</w:t>
            </w:r>
          </w:p>
        </w:tc>
      </w:tr>
    </w:tbl>
    <w:p w:rsidR="006F32E5" w:rsidRDefault="006F32E5" w:rsidP="006F32E5">
      <w:pPr>
        <w:pStyle w:val="OrderSigInfo"/>
        <w:keepNext/>
        <w:keepLines/>
      </w:pPr>
      <w:r>
        <w:t>Florida Public Service Commission</w:t>
      </w:r>
    </w:p>
    <w:p w:rsidR="006F32E5" w:rsidRDefault="006F32E5" w:rsidP="006F32E5">
      <w:pPr>
        <w:pStyle w:val="OrderSigInfo"/>
        <w:keepNext/>
        <w:keepLines/>
      </w:pPr>
      <w:r>
        <w:t>2540 Shumard Oak Boulevard</w:t>
      </w:r>
    </w:p>
    <w:p w:rsidR="006F32E5" w:rsidRDefault="006F32E5" w:rsidP="006F32E5">
      <w:pPr>
        <w:pStyle w:val="OrderSigInfo"/>
        <w:keepNext/>
        <w:keepLines/>
      </w:pPr>
      <w:r>
        <w:t>Tallahassee, Florida 32399</w:t>
      </w:r>
    </w:p>
    <w:p w:rsidR="006F32E5" w:rsidRDefault="006F32E5" w:rsidP="006F32E5">
      <w:pPr>
        <w:pStyle w:val="OrderSigInfo"/>
        <w:keepNext/>
        <w:keepLines/>
      </w:pPr>
      <w:r>
        <w:t>(850) 413</w:t>
      </w:r>
      <w:r>
        <w:noBreakHyphen/>
        <w:t>6770</w:t>
      </w:r>
    </w:p>
    <w:p w:rsidR="006F32E5" w:rsidRDefault="006F32E5" w:rsidP="006F32E5">
      <w:pPr>
        <w:pStyle w:val="OrderSigInfo"/>
        <w:keepNext/>
        <w:keepLines/>
      </w:pPr>
      <w:r>
        <w:t>www.floridapsc.com</w:t>
      </w:r>
    </w:p>
    <w:p w:rsidR="006F32E5" w:rsidRDefault="006F32E5" w:rsidP="006F32E5">
      <w:pPr>
        <w:pStyle w:val="OrderSigInfo"/>
        <w:keepNext/>
        <w:keepLines/>
      </w:pPr>
    </w:p>
    <w:p w:rsidR="006F32E5" w:rsidRDefault="006F32E5" w:rsidP="006F32E5">
      <w:pPr>
        <w:pStyle w:val="OrderSigInfo"/>
        <w:keepNext/>
        <w:keepLines/>
      </w:pPr>
      <w:r>
        <w:t>Copies furnished: A copy of this document is provided to the parties of record at the time of issuance and, if applicable, interested persons.</w:t>
      </w:r>
    </w:p>
    <w:p w:rsidR="006F32E5" w:rsidRDefault="001509D0" w:rsidP="006F32E5">
      <w:pPr>
        <w:pStyle w:val="OrderBody"/>
        <w:keepNext/>
        <w:keepLines/>
      </w:pPr>
      <w:r>
        <w:tab/>
      </w:r>
    </w:p>
    <w:p w:rsidR="006F32E5" w:rsidRDefault="006F32E5" w:rsidP="006F32E5">
      <w:pPr>
        <w:pStyle w:val="OrderBody"/>
        <w:keepNext/>
        <w:keepLines/>
      </w:pPr>
    </w:p>
    <w:p w:rsidR="006F32E5" w:rsidRDefault="006F32E5" w:rsidP="006F32E5">
      <w:pPr>
        <w:pStyle w:val="OrderBody"/>
        <w:keepNext/>
        <w:keepLines/>
      </w:pPr>
      <w:r>
        <w:t>CMM</w:t>
      </w:r>
    </w:p>
    <w:p w:rsidR="006F32E5" w:rsidRDefault="006F32E5" w:rsidP="006F32E5">
      <w:pPr>
        <w:pStyle w:val="OrderBody"/>
        <w:keepNext/>
        <w:keepLines/>
      </w:pPr>
    </w:p>
    <w:p w:rsidR="006F32E5" w:rsidRDefault="006F32E5" w:rsidP="006F32E5">
      <w:pPr>
        <w:pStyle w:val="OrderBody"/>
        <w:keepNext/>
        <w:keepLines/>
      </w:pPr>
    </w:p>
    <w:p w:rsidR="006F32E5" w:rsidRDefault="006F32E5">
      <w:r>
        <w:br w:type="page"/>
      </w:r>
    </w:p>
    <w:p w:rsidR="006F32E5" w:rsidRDefault="006F32E5" w:rsidP="006F32E5">
      <w:pPr>
        <w:pStyle w:val="CenterUnderline"/>
      </w:pPr>
      <w:r>
        <w:lastRenderedPageBreak/>
        <w:t>NOTICE OF FURTHER PROCEEDINGS OR JUDICIAL REVIEW</w:t>
      </w:r>
    </w:p>
    <w:p w:rsidR="001509D0" w:rsidRDefault="001509D0" w:rsidP="006F32E5">
      <w:pPr>
        <w:pStyle w:val="CenterUnderline"/>
      </w:pPr>
    </w:p>
    <w:p w:rsidR="006F32E5" w:rsidRDefault="006F32E5" w:rsidP="006F32E5">
      <w:pPr>
        <w:pStyle w:val="OrderBody"/>
      </w:pPr>
      <w:r>
        <w:tab/>
        <w:t xml:space="preserve">The Florida Public Service Commission </w:t>
      </w:r>
      <w:r w:rsidR="008C35B6">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32E5" w:rsidRDefault="006F32E5" w:rsidP="006F32E5">
      <w:pPr>
        <w:pStyle w:val="OrderBody"/>
      </w:pPr>
    </w:p>
    <w:p w:rsidR="006F32E5" w:rsidRDefault="006F32E5" w:rsidP="006F32E5">
      <w:pPr>
        <w:pStyle w:val="OrderBody"/>
      </w:pPr>
      <w:r>
        <w:tab/>
        <w:t>Mediation may be available on a case-by-case basis. If mediation is conducted, it does not affect a substantially interested person's right to a hearing.</w:t>
      </w:r>
    </w:p>
    <w:p w:rsidR="006F32E5" w:rsidRDefault="006F32E5" w:rsidP="006F32E5">
      <w:pPr>
        <w:pStyle w:val="OrderBody"/>
      </w:pPr>
    </w:p>
    <w:p w:rsidR="006F32E5" w:rsidRDefault="006F32E5" w:rsidP="006F32E5">
      <w:pPr>
        <w:pStyle w:val="OrderBody"/>
      </w:pPr>
      <w:r>
        <w:tab/>
        <w:t>Any party adversely affected by this order, which is preliminary, procedural</w:t>
      </w:r>
      <w:r w:rsidR="008C35B6">
        <w:t>,</w:t>
      </w:r>
      <w:r>
        <w:t xml:space="preserve"> or intermediate in nature, may request: (1) reconsideration within 10 days pursuant to Rule 25-22.0376, Florida Administrative Code; or (2) judicial review by the Florida Supreme Court, in the case of an electric, gas</w:t>
      </w:r>
      <w:r w:rsidR="008C35B6">
        <w:t>,</w:t>
      </w:r>
      <w:r>
        <w:t xml:space="preserve"> or telephone utility. A motion for reconsideration shall be filed with the Office of Commission Clerk, in the form prescribed by Rule 25-22.0376, Florida Administrative Code. Judicial review of a preliminary, procedural</w:t>
      </w:r>
      <w:r w:rsidR="008C35B6">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F32E5" w:rsidRDefault="006F32E5" w:rsidP="006F32E5">
      <w:pPr>
        <w:pStyle w:val="OrderBody"/>
      </w:pPr>
    </w:p>
    <w:p w:rsidR="006F32E5" w:rsidRDefault="006F32E5" w:rsidP="006F32E5">
      <w:pPr>
        <w:pStyle w:val="OrderBody"/>
      </w:pPr>
    </w:p>
    <w:p w:rsidR="00CB5276" w:rsidRDefault="00CB5276">
      <w:pPr>
        <w:pStyle w:val="OrderBody"/>
      </w:pPr>
      <w:bookmarkStart w:id="8" w:name="OrderText"/>
      <w:bookmarkEnd w:id="8"/>
    </w:p>
    <w:p w:rsidR="00513EC1" w:rsidRDefault="00513EC1">
      <w:pPr>
        <w:pStyle w:val="OrderBody"/>
      </w:pPr>
    </w:p>
    <w:sectPr w:rsidR="00513EC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9D0" w:rsidRDefault="001509D0">
      <w:r>
        <w:separator/>
      </w:r>
    </w:p>
  </w:endnote>
  <w:endnote w:type="continuationSeparator" w:id="0">
    <w:p w:rsidR="001509D0" w:rsidRDefault="0015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9D0" w:rsidRDefault="001509D0">
      <w:r>
        <w:separator/>
      </w:r>
    </w:p>
  </w:footnote>
  <w:footnote w:type="continuationSeparator" w:id="0">
    <w:p w:rsidR="001509D0" w:rsidRDefault="001509D0">
      <w:r>
        <w:continuationSeparator/>
      </w:r>
    </w:p>
  </w:footnote>
  <w:footnote w:id="1">
    <w:p w:rsidR="007417CC" w:rsidRPr="00675364" w:rsidRDefault="007417CC">
      <w:pPr>
        <w:pStyle w:val="FootnoteText"/>
        <w:rPr>
          <w:i/>
        </w:rPr>
      </w:pPr>
      <w:r>
        <w:rPr>
          <w:rStyle w:val="FootnoteReference"/>
        </w:rPr>
        <w:footnoteRef/>
      </w:r>
      <w:r>
        <w:t xml:space="preserve"> Order No. PSC-2026-0056-PCO-EI, issued March 12, 2026, in Docket No. 20260020-EI, </w:t>
      </w:r>
      <w:r>
        <w:rPr>
          <w:i/>
        </w:rPr>
        <w:t>In re:</w:t>
      </w:r>
      <w:r w:rsidRPr="00675364">
        <w:rPr>
          <w:i/>
        </w:rPr>
        <w:t xml:space="preserve"> Petition for determination of need for Andytown-Oasis transmission lines project in Broward and Miami-Dade Counties, by Florida Power &amp; Light Company</w:t>
      </w:r>
      <w:r w:rsidRPr="0067536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C448E">
      <w:fldChar w:fldCharType="begin"/>
    </w:r>
    <w:r w:rsidR="001C448E">
      <w:instrText xml:space="preserve"> REF OrderNo0098 </w:instrText>
    </w:r>
    <w:r w:rsidR="001C448E">
      <w:fldChar w:fldCharType="separate"/>
    </w:r>
    <w:r w:rsidR="001C448E">
      <w:t>PSC-2026-0098-PCO-EI</w:t>
    </w:r>
    <w:r w:rsidR="001C448E">
      <w:fldChar w:fldCharType="end"/>
    </w:r>
  </w:p>
  <w:p w:rsidR="00FA6EFD" w:rsidRDefault="001509D0">
    <w:pPr>
      <w:pStyle w:val="OrderHeader"/>
    </w:pPr>
    <w:bookmarkStart w:id="9" w:name="HeaderDocketNo"/>
    <w:bookmarkEnd w:id="9"/>
    <w:r>
      <w:t>DOCKET NO. 20260020-EI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448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0-EI"/>
  </w:docVars>
  <w:rsids>
    <w:rsidRoot w:val="001509D0"/>
    <w:rsid w:val="000003EA"/>
    <w:rsid w:val="000022B8"/>
    <w:rsid w:val="00003883"/>
    <w:rsid w:val="000048E2"/>
    <w:rsid w:val="00011251"/>
    <w:rsid w:val="00012B32"/>
    <w:rsid w:val="000163D5"/>
    <w:rsid w:val="00021EC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33E"/>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14E3"/>
    <w:rsid w:val="000E20F0"/>
    <w:rsid w:val="000E2593"/>
    <w:rsid w:val="000E344D"/>
    <w:rsid w:val="000E3F6D"/>
    <w:rsid w:val="000F0A41"/>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4886"/>
    <w:rsid w:val="00116AD3"/>
    <w:rsid w:val="00121957"/>
    <w:rsid w:val="0012387E"/>
    <w:rsid w:val="0012393B"/>
    <w:rsid w:val="001259EC"/>
    <w:rsid w:val="00126593"/>
    <w:rsid w:val="00126C01"/>
    <w:rsid w:val="00134177"/>
    <w:rsid w:val="00136087"/>
    <w:rsid w:val="00142A96"/>
    <w:rsid w:val="00146A7F"/>
    <w:rsid w:val="001509D0"/>
    <w:rsid w:val="001513DE"/>
    <w:rsid w:val="00154A71"/>
    <w:rsid w:val="00155A13"/>
    <w:rsid w:val="001562B9"/>
    <w:rsid w:val="00163F11"/>
    <w:rsid w:val="001655D4"/>
    <w:rsid w:val="00165803"/>
    <w:rsid w:val="00185F09"/>
    <w:rsid w:val="00187E32"/>
    <w:rsid w:val="001918FF"/>
    <w:rsid w:val="00191DB7"/>
    <w:rsid w:val="00194420"/>
    <w:rsid w:val="00194A97"/>
    <w:rsid w:val="00194E81"/>
    <w:rsid w:val="001A15E7"/>
    <w:rsid w:val="001A33C9"/>
    <w:rsid w:val="001A58F3"/>
    <w:rsid w:val="001B034E"/>
    <w:rsid w:val="001B66AF"/>
    <w:rsid w:val="001C17C5"/>
    <w:rsid w:val="001C2847"/>
    <w:rsid w:val="001C3BB5"/>
    <w:rsid w:val="001C3F8C"/>
    <w:rsid w:val="001C445C"/>
    <w:rsid w:val="001C448E"/>
    <w:rsid w:val="001C5338"/>
    <w:rsid w:val="001C6097"/>
    <w:rsid w:val="001C7126"/>
    <w:rsid w:val="001D008A"/>
    <w:rsid w:val="001D0794"/>
    <w:rsid w:val="001D7777"/>
    <w:rsid w:val="001E0152"/>
    <w:rsid w:val="001E0FF5"/>
    <w:rsid w:val="001F0095"/>
    <w:rsid w:val="001F36B0"/>
    <w:rsid w:val="001F4CA3"/>
    <w:rsid w:val="001F59E0"/>
    <w:rsid w:val="002002ED"/>
    <w:rsid w:val="002021F8"/>
    <w:rsid w:val="002044DD"/>
    <w:rsid w:val="002170E5"/>
    <w:rsid w:val="002179AC"/>
    <w:rsid w:val="00220D57"/>
    <w:rsid w:val="00223B99"/>
    <w:rsid w:val="00226C15"/>
    <w:rsid w:val="0022721A"/>
    <w:rsid w:val="00230BB9"/>
    <w:rsid w:val="00233830"/>
    <w:rsid w:val="00233F19"/>
    <w:rsid w:val="00236E4C"/>
    <w:rsid w:val="00241CEF"/>
    <w:rsid w:val="0024275D"/>
    <w:rsid w:val="00244000"/>
    <w:rsid w:val="002505C1"/>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13C7"/>
    <w:rsid w:val="002F2A9D"/>
    <w:rsid w:val="002F31C2"/>
    <w:rsid w:val="002F7BF6"/>
    <w:rsid w:val="00303FDE"/>
    <w:rsid w:val="003100FB"/>
    <w:rsid w:val="00313C5B"/>
    <w:rsid w:val="003140E8"/>
    <w:rsid w:val="003144B7"/>
    <w:rsid w:val="00321702"/>
    <w:rsid w:val="003231C7"/>
    <w:rsid w:val="00323839"/>
    <w:rsid w:val="003270C4"/>
    <w:rsid w:val="00331ED0"/>
    <w:rsid w:val="00332B0A"/>
    <w:rsid w:val="00333A41"/>
    <w:rsid w:val="00341036"/>
    <w:rsid w:val="0034396D"/>
    <w:rsid w:val="00345434"/>
    <w:rsid w:val="00350454"/>
    <w:rsid w:val="00351C22"/>
    <w:rsid w:val="0035495B"/>
    <w:rsid w:val="00355A93"/>
    <w:rsid w:val="00360F30"/>
    <w:rsid w:val="00361229"/>
    <w:rsid w:val="00361522"/>
    <w:rsid w:val="0036362B"/>
    <w:rsid w:val="0037196E"/>
    <w:rsid w:val="0037442E"/>
    <w:rsid w:val="003744F5"/>
    <w:rsid w:val="00382C6A"/>
    <w:rsid w:val="00385D0B"/>
    <w:rsid w:val="003875A9"/>
    <w:rsid w:val="00387BDE"/>
    <w:rsid w:val="00390DD8"/>
    <w:rsid w:val="00394DC6"/>
    <w:rsid w:val="00397C3E"/>
    <w:rsid w:val="003A0C44"/>
    <w:rsid w:val="003A5F8B"/>
    <w:rsid w:val="003A720C"/>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E7E91"/>
    <w:rsid w:val="003F1D2B"/>
    <w:rsid w:val="003F2227"/>
    <w:rsid w:val="003F49A6"/>
    <w:rsid w:val="003F518F"/>
    <w:rsid w:val="003F6BA7"/>
    <w:rsid w:val="003F7445"/>
    <w:rsid w:val="00405881"/>
    <w:rsid w:val="00411DF2"/>
    <w:rsid w:val="00411E8F"/>
    <w:rsid w:val="0041412B"/>
    <w:rsid w:val="004173BA"/>
    <w:rsid w:val="004226F6"/>
    <w:rsid w:val="004247F5"/>
    <w:rsid w:val="00425154"/>
    <w:rsid w:val="0042527B"/>
    <w:rsid w:val="0042705B"/>
    <w:rsid w:val="00427EAC"/>
    <w:rsid w:val="00433E00"/>
    <w:rsid w:val="004431B4"/>
    <w:rsid w:val="00445604"/>
    <w:rsid w:val="00447821"/>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67B4"/>
    <w:rsid w:val="004B70D3"/>
    <w:rsid w:val="004C0219"/>
    <w:rsid w:val="004C312D"/>
    <w:rsid w:val="004C73F1"/>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153F"/>
    <w:rsid w:val="00533EF6"/>
    <w:rsid w:val="00540B41"/>
    <w:rsid w:val="00540E6B"/>
    <w:rsid w:val="0054109E"/>
    <w:rsid w:val="00542DCB"/>
    <w:rsid w:val="00543CC0"/>
    <w:rsid w:val="0055595D"/>
    <w:rsid w:val="00556A10"/>
    <w:rsid w:val="00557F50"/>
    <w:rsid w:val="005645FC"/>
    <w:rsid w:val="005706BC"/>
    <w:rsid w:val="00571D3D"/>
    <w:rsid w:val="00573194"/>
    <w:rsid w:val="00574379"/>
    <w:rsid w:val="0058264B"/>
    <w:rsid w:val="00583F81"/>
    <w:rsid w:val="005850DF"/>
    <w:rsid w:val="00586368"/>
    <w:rsid w:val="005868AA"/>
    <w:rsid w:val="00586C5A"/>
    <w:rsid w:val="00590845"/>
    <w:rsid w:val="00594175"/>
    <w:rsid w:val="005944A0"/>
    <w:rsid w:val="00594726"/>
    <w:rsid w:val="00595DDA"/>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5364"/>
    <w:rsid w:val="00677F18"/>
    <w:rsid w:val="00684AE3"/>
    <w:rsid w:val="00687318"/>
    <w:rsid w:val="00692E1A"/>
    <w:rsid w:val="00693483"/>
    <w:rsid w:val="00695682"/>
    <w:rsid w:val="00696892"/>
    <w:rsid w:val="006A0A0A"/>
    <w:rsid w:val="006A0BF3"/>
    <w:rsid w:val="006A502B"/>
    <w:rsid w:val="006B0036"/>
    <w:rsid w:val="006B0DA6"/>
    <w:rsid w:val="006B3FA9"/>
    <w:rsid w:val="006C3055"/>
    <w:rsid w:val="006C547E"/>
    <w:rsid w:val="006C6755"/>
    <w:rsid w:val="006C6A11"/>
    <w:rsid w:val="006D1898"/>
    <w:rsid w:val="006D2B51"/>
    <w:rsid w:val="006D5575"/>
    <w:rsid w:val="006D7191"/>
    <w:rsid w:val="006E21C4"/>
    <w:rsid w:val="006E42BE"/>
    <w:rsid w:val="006E5D4D"/>
    <w:rsid w:val="006E6D16"/>
    <w:rsid w:val="006F32E5"/>
    <w:rsid w:val="006F663E"/>
    <w:rsid w:val="00703F2A"/>
    <w:rsid w:val="0070426E"/>
    <w:rsid w:val="00704C5D"/>
    <w:rsid w:val="007072BC"/>
    <w:rsid w:val="00715275"/>
    <w:rsid w:val="00721B44"/>
    <w:rsid w:val="007232A2"/>
    <w:rsid w:val="007245E8"/>
    <w:rsid w:val="00726366"/>
    <w:rsid w:val="00731AB6"/>
    <w:rsid w:val="00733B6B"/>
    <w:rsid w:val="00740808"/>
    <w:rsid w:val="00740A1B"/>
    <w:rsid w:val="007417CC"/>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5813"/>
    <w:rsid w:val="007865E9"/>
    <w:rsid w:val="0079237D"/>
    <w:rsid w:val="00792383"/>
    <w:rsid w:val="00794D5A"/>
    <w:rsid w:val="00794DD9"/>
    <w:rsid w:val="007965EF"/>
    <w:rsid w:val="007A060F"/>
    <w:rsid w:val="007A37DC"/>
    <w:rsid w:val="007B1C5E"/>
    <w:rsid w:val="007B350E"/>
    <w:rsid w:val="007B7268"/>
    <w:rsid w:val="007B746F"/>
    <w:rsid w:val="007C0FBC"/>
    <w:rsid w:val="007C29C9"/>
    <w:rsid w:val="007C35B8"/>
    <w:rsid w:val="007C36E3"/>
    <w:rsid w:val="007C3ABB"/>
    <w:rsid w:val="007C7134"/>
    <w:rsid w:val="007C7ECF"/>
    <w:rsid w:val="007D3D20"/>
    <w:rsid w:val="007D44F9"/>
    <w:rsid w:val="007D4F51"/>
    <w:rsid w:val="007D55F0"/>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0A2D"/>
    <w:rsid w:val="008919EF"/>
    <w:rsid w:val="00892B20"/>
    <w:rsid w:val="008931BC"/>
    <w:rsid w:val="008956F0"/>
    <w:rsid w:val="0089695B"/>
    <w:rsid w:val="0089737A"/>
    <w:rsid w:val="00897740"/>
    <w:rsid w:val="008A12EC"/>
    <w:rsid w:val="008A1DF5"/>
    <w:rsid w:val="008B14BE"/>
    <w:rsid w:val="008B19A6"/>
    <w:rsid w:val="008B4EFB"/>
    <w:rsid w:val="008B7615"/>
    <w:rsid w:val="008B78ED"/>
    <w:rsid w:val="008C21C8"/>
    <w:rsid w:val="008C35B6"/>
    <w:rsid w:val="008C6375"/>
    <w:rsid w:val="008C6A5B"/>
    <w:rsid w:val="008D441D"/>
    <w:rsid w:val="008D498D"/>
    <w:rsid w:val="008D6D36"/>
    <w:rsid w:val="008D791F"/>
    <w:rsid w:val="008E0582"/>
    <w:rsid w:val="008E0693"/>
    <w:rsid w:val="008E151F"/>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55594"/>
    <w:rsid w:val="00956BDC"/>
    <w:rsid w:val="00964A38"/>
    <w:rsid w:val="00966A9D"/>
    <w:rsid w:val="0096742B"/>
    <w:rsid w:val="00967C64"/>
    <w:rsid w:val="009718C5"/>
    <w:rsid w:val="00976AFF"/>
    <w:rsid w:val="009823BE"/>
    <w:rsid w:val="009839C1"/>
    <w:rsid w:val="00986AED"/>
    <w:rsid w:val="009924CF"/>
    <w:rsid w:val="00993130"/>
    <w:rsid w:val="00994100"/>
    <w:rsid w:val="009A04B7"/>
    <w:rsid w:val="009A145B"/>
    <w:rsid w:val="009A2304"/>
    <w:rsid w:val="009A6B17"/>
    <w:rsid w:val="009A7E5C"/>
    <w:rsid w:val="009B052E"/>
    <w:rsid w:val="009B0565"/>
    <w:rsid w:val="009B0AE4"/>
    <w:rsid w:val="009B253D"/>
    <w:rsid w:val="009B4E00"/>
    <w:rsid w:val="009B4FCF"/>
    <w:rsid w:val="009C4300"/>
    <w:rsid w:val="009D4C29"/>
    <w:rsid w:val="009E58E9"/>
    <w:rsid w:val="009E6803"/>
    <w:rsid w:val="009F6AD2"/>
    <w:rsid w:val="009F7AE8"/>
    <w:rsid w:val="009F7C1B"/>
    <w:rsid w:val="00A00183"/>
    <w:rsid w:val="00A00B5B"/>
    <w:rsid w:val="00A00D8D"/>
    <w:rsid w:val="00A01BB6"/>
    <w:rsid w:val="00A108A7"/>
    <w:rsid w:val="00A21A0A"/>
    <w:rsid w:val="00A228DA"/>
    <w:rsid w:val="00A22B28"/>
    <w:rsid w:val="00A26DC0"/>
    <w:rsid w:val="00A3351E"/>
    <w:rsid w:val="00A36867"/>
    <w:rsid w:val="00A4303C"/>
    <w:rsid w:val="00A46CAF"/>
    <w:rsid w:val="00A47099"/>
    <w:rsid w:val="00A470FD"/>
    <w:rsid w:val="00A475C3"/>
    <w:rsid w:val="00A50B5E"/>
    <w:rsid w:val="00A52B5D"/>
    <w:rsid w:val="00A571FA"/>
    <w:rsid w:val="00A62DAB"/>
    <w:rsid w:val="00A66363"/>
    <w:rsid w:val="00A6757A"/>
    <w:rsid w:val="00A726A6"/>
    <w:rsid w:val="00A74842"/>
    <w:rsid w:val="00A81440"/>
    <w:rsid w:val="00A818AD"/>
    <w:rsid w:val="00A8269A"/>
    <w:rsid w:val="00A86A50"/>
    <w:rsid w:val="00A879D6"/>
    <w:rsid w:val="00A9178A"/>
    <w:rsid w:val="00A92DEC"/>
    <w:rsid w:val="00A9515B"/>
    <w:rsid w:val="00A97535"/>
    <w:rsid w:val="00AA2BAA"/>
    <w:rsid w:val="00AA3735"/>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AF7000"/>
    <w:rsid w:val="00B019C1"/>
    <w:rsid w:val="00B02001"/>
    <w:rsid w:val="00B03C50"/>
    <w:rsid w:val="00B055D7"/>
    <w:rsid w:val="00B0777D"/>
    <w:rsid w:val="00B07DDF"/>
    <w:rsid w:val="00B11576"/>
    <w:rsid w:val="00B1195F"/>
    <w:rsid w:val="00B14D10"/>
    <w:rsid w:val="00B209C7"/>
    <w:rsid w:val="00B26480"/>
    <w:rsid w:val="00B32D65"/>
    <w:rsid w:val="00B3644F"/>
    <w:rsid w:val="00B36C55"/>
    <w:rsid w:val="00B4057A"/>
    <w:rsid w:val="00B40894"/>
    <w:rsid w:val="00B40C0F"/>
    <w:rsid w:val="00B41039"/>
    <w:rsid w:val="00B41F37"/>
    <w:rsid w:val="00B42987"/>
    <w:rsid w:val="00B441A5"/>
    <w:rsid w:val="00B444AE"/>
    <w:rsid w:val="00B45E75"/>
    <w:rsid w:val="00B50876"/>
    <w:rsid w:val="00B51074"/>
    <w:rsid w:val="00B52E68"/>
    <w:rsid w:val="00B54DAA"/>
    <w:rsid w:val="00B552E0"/>
    <w:rsid w:val="00B558EA"/>
    <w:rsid w:val="00B55AB0"/>
    <w:rsid w:val="00B55EE5"/>
    <w:rsid w:val="00B61D42"/>
    <w:rsid w:val="00B633EA"/>
    <w:rsid w:val="00B67A43"/>
    <w:rsid w:val="00B67F9F"/>
    <w:rsid w:val="00B71D1F"/>
    <w:rsid w:val="00B72B25"/>
    <w:rsid w:val="00B72CFF"/>
    <w:rsid w:val="00B73DE6"/>
    <w:rsid w:val="00B761CD"/>
    <w:rsid w:val="00B76B66"/>
    <w:rsid w:val="00B84241"/>
    <w:rsid w:val="00B86EF0"/>
    <w:rsid w:val="00B9079F"/>
    <w:rsid w:val="00B96969"/>
    <w:rsid w:val="00B97900"/>
    <w:rsid w:val="00BA1229"/>
    <w:rsid w:val="00BA44A8"/>
    <w:rsid w:val="00BA4799"/>
    <w:rsid w:val="00BA49C5"/>
    <w:rsid w:val="00BA5348"/>
    <w:rsid w:val="00BA74C7"/>
    <w:rsid w:val="00BB0182"/>
    <w:rsid w:val="00BB2F4A"/>
    <w:rsid w:val="00BB637C"/>
    <w:rsid w:val="00BC1006"/>
    <w:rsid w:val="00BC786E"/>
    <w:rsid w:val="00BD5C92"/>
    <w:rsid w:val="00BE50E6"/>
    <w:rsid w:val="00BE7A0C"/>
    <w:rsid w:val="00BF0AD1"/>
    <w:rsid w:val="00BF2928"/>
    <w:rsid w:val="00BF5D60"/>
    <w:rsid w:val="00BF6691"/>
    <w:rsid w:val="00C028FC"/>
    <w:rsid w:val="00C037F2"/>
    <w:rsid w:val="00C0386D"/>
    <w:rsid w:val="00C065A1"/>
    <w:rsid w:val="00C06FB1"/>
    <w:rsid w:val="00C10E77"/>
    <w:rsid w:val="00C10ED5"/>
    <w:rsid w:val="00C12574"/>
    <w:rsid w:val="00C12CB3"/>
    <w:rsid w:val="00C151A6"/>
    <w:rsid w:val="00C24098"/>
    <w:rsid w:val="00C2571F"/>
    <w:rsid w:val="00C30A4E"/>
    <w:rsid w:val="00C33E5A"/>
    <w:rsid w:val="00C3483B"/>
    <w:rsid w:val="00C3641C"/>
    <w:rsid w:val="00C411F3"/>
    <w:rsid w:val="00C44105"/>
    <w:rsid w:val="00C4467C"/>
    <w:rsid w:val="00C450F0"/>
    <w:rsid w:val="00C52004"/>
    <w:rsid w:val="00C523EC"/>
    <w:rsid w:val="00C55A33"/>
    <w:rsid w:val="00C563A9"/>
    <w:rsid w:val="00C62191"/>
    <w:rsid w:val="00C62755"/>
    <w:rsid w:val="00C64D49"/>
    <w:rsid w:val="00C66692"/>
    <w:rsid w:val="00C66849"/>
    <w:rsid w:val="00C673B5"/>
    <w:rsid w:val="00C7063D"/>
    <w:rsid w:val="00C72339"/>
    <w:rsid w:val="00C761E7"/>
    <w:rsid w:val="00C820BC"/>
    <w:rsid w:val="00C82247"/>
    <w:rsid w:val="00C830BC"/>
    <w:rsid w:val="00C83A1F"/>
    <w:rsid w:val="00C8524D"/>
    <w:rsid w:val="00C90904"/>
    <w:rsid w:val="00C91123"/>
    <w:rsid w:val="00C96CB0"/>
    <w:rsid w:val="00CA1595"/>
    <w:rsid w:val="00CA21C4"/>
    <w:rsid w:val="00CA33E9"/>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18A5"/>
    <w:rsid w:val="00D13535"/>
    <w:rsid w:val="00D1476E"/>
    <w:rsid w:val="00D15497"/>
    <w:rsid w:val="00D17B79"/>
    <w:rsid w:val="00D205F5"/>
    <w:rsid w:val="00D23FEA"/>
    <w:rsid w:val="00D269CA"/>
    <w:rsid w:val="00D30B48"/>
    <w:rsid w:val="00D3168A"/>
    <w:rsid w:val="00D350D1"/>
    <w:rsid w:val="00D40556"/>
    <w:rsid w:val="00D464AF"/>
    <w:rsid w:val="00D46FAA"/>
    <w:rsid w:val="00D47A40"/>
    <w:rsid w:val="00D51D33"/>
    <w:rsid w:val="00D57132"/>
    <w:rsid w:val="00D57BB2"/>
    <w:rsid w:val="00D57E57"/>
    <w:rsid w:val="00D611DF"/>
    <w:rsid w:val="00D65405"/>
    <w:rsid w:val="00D70752"/>
    <w:rsid w:val="00D80E2D"/>
    <w:rsid w:val="00D824A6"/>
    <w:rsid w:val="00D825A6"/>
    <w:rsid w:val="00D84D5E"/>
    <w:rsid w:val="00D8560E"/>
    <w:rsid w:val="00D8758F"/>
    <w:rsid w:val="00DA4EDD"/>
    <w:rsid w:val="00DA6B78"/>
    <w:rsid w:val="00DB0671"/>
    <w:rsid w:val="00DB122B"/>
    <w:rsid w:val="00DC1D94"/>
    <w:rsid w:val="00DC42CF"/>
    <w:rsid w:val="00DC4D2A"/>
    <w:rsid w:val="00DC6191"/>
    <w:rsid w:val="00DC738A"/>
    <w:rsid w:val="00DC77A2"/>
    <w:rsid w:val="00DD2D9D"/>
    <w:rsid w:val="00DD382A"/>
    <w:rsid w:val="00DD592E"/>
    <w:rsid w:val="00DD59D6"/>
    <w:rsid w:val="00DE057F"/>
    <w:rsid w:val="00DE2082"/>
    <w:rsid w:val="00DE2289"/>
    <w:rsid w:val="00DE2E42"/>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402D"/>
    <w:rsid w:val="00E37D48"/>
    <w:rsid w:val="00E4225C"/>
    <w:rsid w:val="00E44879"/>
    <w:rsid w:val="00E50373"/>
    <w:rsid w:val="00E548BA"/>
    <w:rsid w:val="00E61530"/>
    <w:rsid w:val="00E6378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4E7F"/>
    <w:rsid w:val="00EB58F4"/>
    <w:rsid w:val="00EB7951"/>
    <w:rsid w:val="00EC3AB6"/>
    <w:rsid w:val="00ED44E6"/>
    <w:rsid w:val="00ED6A79"/>
    <w:rsid w:val="00ED6BA7"/>
    <w:rsid w:val="00EE17DF"/>
    <w:rsid w:val="00EE7FB6"/>
    <w:rsid w:val="00EF1482"/>
    <w:rsid w:val="00EF4621"/>
    <w:rsid w:val="00EF4D52"/>
    <w:rsid w:val="00EF6312"/>
    <w:rsid w:val="00F00C4B"/>
    <w:rsid w:val="00F0341B"/>
    <w:rsid w:val="00F038B0"/>
    <w:rsid w:val="00F05F34"/>
    <w:rsid w:val="00F170CD"/>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5943"/>
    <w:rsid w:val="00FA6EFD"/>
    <w:rsid w:val="00FB2A8E"/>
    <w:rsid w:val="00FB3791"/>
    <w:rsid w:val="00FB4707"/>
    <w:rsid w:val="00FB6780"/>
    <w:rsid w:val="00FB74EA"/>
    <w:rsid w:val="00FC1262"/>
    <w:rsid w:val="00FD0ADB"/>
    <w:rsid w:val="00FD1424"/>
    <w:rsid w:val="00FD25C4"/>
    <w:rsid w:val="00FD2C9E"/>
    <w:rsid w:val="00FD334A"/>
    <w:rsid w:val="00FD39F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DB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509D0"/>
    <w:pPr>
      <w:ind w:left="720"/>
      <w:contextualSpacing/>
    </w:pPr>
    <w:rPr>
      <w:rFonts w:ascii="Calibri" w:eastAsia="Calibri" w:hAnsi="Calibri"/>
    </w:rPr>
  </w:style>
  <w:style w:type="paragraph" w:styleId="BalloonText">
    <w:name w:val="Balloon Text"/>
    <w:basedOn w:val="Normal"/>
    <w:link w:val="BalloonTextChar"/>
    <w:semiHidden/>
    <w:unhideWhenUsed/>
    <w:rsid w:val="007417CC"/>
    <w:rPr>
      <w:rFonts w:ascii="Segoe UI" w:hAnsi="Segoe UI" w:cs="Segoe UI"/>
      <w:sz w:val="18"/>
      <w:szCs w:val="18"/>
    </w:rPr>
  </w:style>
  <w:style w:type="character" w:customStyle="1" w:styleId="BalloonTextChar">
    <w:name w:val="Balloon Text Char"/>
    <w:basedOn w:val="DefaultParagraphFont"/>
    <w:link w:val="BalloonText"/>
    <w:semiHidden/>
    <w:rsid w:val="007417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5</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2026-04-23T12:07:00Z</dcterms:created>
  <dcterms:modified xsi:type="dcterms:W3CDTF">2026-04-23T12:14:00Z</dcterms:modified>
</cp:coreProperties>
</file>