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097318" w14:textId="77777777" w:rsidR="00156E0F" w:rsidRPr="002B3379" w:rsidRDefault="00156E0F" w:rsidP="00156E0F">
      <w:pPr>
        <w:pStyle w:val="OrderHeading"/>
      </w:pPr>
      <w:r w:rsidRPr="002B3379">
        <w:t>BEFORE THE FLORIDA PUBLIC SERVICE COMMISSION</w:t>
      </w:r>
    </w:p>
    <w:p w14:paraId="75912074" w14:textId="77777777" w:rsidR="00156E0F" w:rsidRPr="002B3379" w:rsidRDefault="00156E0F" w:rsidP="00156E0F">
      <w:pPr>
        <w:pStyle w:val="OrderBody"/>
      </w:pPr>
    </w:p>
    <w:p w14:paraId="5B96FFF2" w14:textId="77777777" w:rsidR="00156E0F" w:rsidRPr="002B3379" w:rsidRDefault="00156E0F" w:rsidP="00156E0F">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156E0F" w:rsidRPr="002B3379" w14:paraId="778D1AB4" w14:textId="77777777" w:rsidTr="00D53E53">
        <w:trPr>
          <w:trHeight w:val="828"/>
        </w:trPr>
        <w:tc>
          <w:tcPr>
            <w:tcW w:w="4788" w:type="dxa"/>
            <w:tcBorders>
              <w:bottom w:val="single" w:sz="8" w:space="0" w:color="auto"/>
              <w:right w:val="double" w:sz="6" w:space="0" w:color="auto"/>
            </w:tcBorders>
            <w:shd w:val="clear" w:color="auto" w:fill="auto"/>
          </w:tcPr>
          <w:p w14:paraId="4AE5BFDB" w14:textId="77777777" w:rsidR="00156E0F" w:rsidRPr="002B3379" w:rsidRDefault="00156E0F" w:rsidP="00D53E53">
            <w:pPr>
              <w:pStyle w:val="OrderBody"/>
              <w:tabs>
                <w:tab w:val="center" w:pos="4320"/>
                <w:tab w:val="right" w:pos="8640"/>
              </w:tabs>
              <w:jc w:val="left"/>
            </w:pPr>
            <w:r w:rsidRPr="002B3379">
              <w:t xml:space="preserve">In re: </w:t>
            </w:r>
            <w:bookmarkStart w:id="0" w:name="SSInRe"/>
            <w:bookmarkEnd w:id="0"/>
            <w:r w:rsidRPr="002B3379">
              <w:t>Petition for determination of need for Andytown-Oasis transmission lines project in Broward and Miami-Dade Counties, by Florida Power &amp; Light Company.</w:t>
            </w:r>
          </w:p>
        </w:tc>
        <w:tc>
          <w:tcPr>
            <w:tcW w:w="4788" w:type="dxa"/>
            <w:tcBorders>
              <w:left w:val="double" w:sz="6" w:space="0" w:color="auto"/>
            </w:tcBorders>
            <w:shd w:val="clear" w:color="auto" w:fill="auto"/>
          </w:tcPr>
          <w:p w14:paraId="6AFDFF56" w14:textId="77777777" w:rsidR="00156E0F" w:rsidRPr="002B3379" w:rsidRDefault="00156E0F" w:rsidP="00156E0F">
            <w:pPr>
              <w:pStyle w:val="OrderBody"/>
            </w:pPr>
            <w:r w:rsidRPr="002B3379">
              <w:t xml:space="preserve">DOCKET NO. </w:t>
            </w:r>
            <w:bookmarkStart w:id="1" w:name="SSDocketNo"/>
            <w:bookmarkEnd w:id="1"/>
            <w:r w:rsidRPr="002B3379">
              <w:t>20260020-EI</w:t>
            </w:r>
          </w:p>
          <w:p w14:paraId="2D396AB9" w14:textId="74054557" w:rsidR="00156E0F" w:rsidRPr="002B3379" w:rsidRDefault="00156E0F" w:rsidP="00D53E53">
            <w:pPr>
              <w:pStyle w:val="OrderBody"/>
              <w:tabs>
                <w:tab w:val="center" w:pos="4320"/>
                <w:tab w:val="right" w:pos="8640"/>
              </w:tabs>
              <w:jc w:val="left"/>
            </w:pPr>
            <w:r w:rsidRPr="002B3379">
              <w:t xml:space="preserve">ORDER NO. </w:t>
            </w:r>
            <w:bookmarkStart w:id="2" w:name="OrderNo0179"/>
            <w:r w:rsidR="0068531E">
              <w:t>PSC-2026-0179-FOF-EI</w:t>
            </w:r>
            <w:bookmarkEnd w:id="2"/>
          </w:p>
          <w:p w14:paraId="0EC00504" w14:textId="09420828" w:rsidR="00156E0F" w:rsidRPr="002B3379" w:rsidRDefault="00156E0F" w:rsidP="00D53E53">
            <w:pPr>
              <w:pStyle w:val="OrderBody"/>
              <w:tabs>
                <w:tab w:val="center" w:pos="4320"/>
                <w:tab w:val="right" w:pos="8640"/>
              </w:tabs>
              <w:jc w:val="left"/>
            </w:pPr>
            <w:r w:rsidRPr="002B3379">
              <w:t xml:space="preserve">ISSUED: </w:t>
            </w:r>
            <w:r w:rsidR="0068531E">
              <w:t>June 1, 2026</w:t>
            </w:r>
          </w:p>
        </w:tc>
      </w:tr>
    </w:tbl>
    <w:p w14:paraId="7B466AB1" w14:textId="77777777" w:rsidR="00156E0F" w:rsidRPr="002B3379" w:rsidRDefault="00156E0F" w:rsidP="00156E0F"/>
    <w:p w14:paraId="5777F984" w14:textId="77777777" w:rsidR="00CB5276" w:rsidRPr="002B3379" w:rsidRDefault="00CB5276" w:rsidP="00156E0F"/>
    <w:p w14:paraId="30AC287A" w14:textId="77777777" w:rsidR="00156E0F" w:rsidRPr="002B3379" w:rsidRDefault="00156E0F" w:rsidP="00D53E53">
      <w:pPr>
        <w:spacing w:line="276" w:lineRule="auto"/>
        <w:jc w:val="center"/>
        <w:rPr>
          <w:rFonts w:eastAsiaTheme="minorHAnsi" w:cstheme="minorBidi"/>
          <w:szCs w:val="22"/>
        </w:rPr>
      </w:pPr>
      <w:bookmarkStart w:id="3" w:name="Commissioners"/>
      <w:bookmarkEnd w:id="3"/>
      <w:r w:rsidRPr="002B3379">
        <w:rPr>
          <w:rFonts w:eastAsiaTheme="minorHAnsi" w:cstheme="minorBidi"/>
          <w:szCs w:val="22"/>
        </w:rPr>
        <w:t>The following Commissioners participated in the disposition of this matter:</w:t>
      </w:r>
    </w:p>
    <w:p w14:paraId="57999CE5" w14:textId="77777777" w:rsidR="00156E0F" w:rsidRPr="002B3379" w:rsidRDefault="00156E0F" w:rsidP="00D53E53">
      <w:pPr>
        <w:spacing w:line="276" w:lineRule="auto"/>
        <w:jc w:val="center"/>
        <w:rPr>
          <w:rFonts w:eastAsiaTheme="minorHAnsi" w:cstheme="minorBidi"/>
          <w:szCs w:val="22"/>
        </w:rPr>
      </w:pPr>
    </w:p>
    <w:p w14:paraId="3B24EF75" w14:textId="77777777" w:rsidR="00156E0F" w:rsidRPr="002B3379" w:rsidRDefault="00156E0F" w:rsidP="00D53E53">
      <w:pPr>
        <w:spacing w:line="276" w:lineRule="auto"/>
        <w:jc w:val="center"/>
        <w:rPr>
          <w:rFonts w:eastAsiaTheme="minorHAnsi" w:cstheme="minorBidi"/>
          <w:szCs w:val="22"/>
        </w:rPr>
      </w:pPr>
      <w:r w:rsidRPr="002B3379">
        <w:rPr>
          <w:rFonts w:eastAsiaTheme="minorHAnsi" w:cstheme="minorBidi"/>
          <w:szCs w:val="22"/>
        </w:rPr>
        <w:t>GARY F. CLARK</w:t>
      </w:r>
    </w:p>
    <w:p w14:paraId="1303356C" w14:textId="77777777" w:rsidR="00156E0F" w:rsidRPr="002B3379" w:rsidRDefault="00156E0F" w:rsidP="00D53E53">
      <w:pPr>
        <w:spacing w:line="276" w:lineRule="auto"/>
        <w:jc w:val="center"/>
        <w:rPr>
          <w:rFonts w:eastAsiaTheme="minorHAnsi" w:cstheme="minorBidi"/>
          <w:szCs w:val="22"/>
        </w:rPr>
      </w:pPr>
      <w:r w:rsidRPr="002B3379">
        <w:rPr>
          <w:rFonts w:eastAsiaTheme="minorHAnsi" w:cstheme="minorBidi"/>
          <w:szCs w:val="22"/>
        </w:rPr>
        <w:t>BOBBY PAYNE</w:t>
      </w:r>
    </w:p>
    <w:p w14:paraId="7D252282" w14:textId="77777777" w:rsidR="00156E0F" w:rsidRPr="002B3379" w:rsidRDefault="00156E0F" w:rsidP="00D53E53">
      <w:pPr>
        <w:spacing w:line="276" w:lineRule="auto"/>
        <w:jc w:val="center"/>
        <w:rPr>
          <w:rFonts w:eastAsiaTheme="minorHAnsi" w:cstheme="minorBidi"/>
          <w:szCs w:val="22"/>
        </w:rPr>
      </w:pPr>
      <w:r w:rsidRPr="002B3379">
        <w:rPr>
          <w:rFonts w:eastAsiaTheme="minorHAnsi" w:cstheme="minorBidi"/>
          <w:szCs w:val="22"/>
        </w:rPr>
        <w:t>ANA ORTEGA</w:t>
      </w:r>
    </w:p>
    <w:p w14:paraId="14A9D0DC" w14:textId="77777777" w:rsidR="00156E0F" w:rsidRPr="002B3379" w:rsidRDefault="00156E0F" w:rsidP="00D53E53">
      <w:pPr>
        <w:spacing w:line="276" w:lineRule="auto"/>
        <w:rPr>
          <w:rFonts w:eastAsiaTheme="minorHAnsi" w:cstheme="minorBidi"/>
          <w:szCs w:val="22"/>
        </w:rPr>
      </w:pPr>
    </w:p>
    <w:p w14:paraId="51BE56AC" w14:textId="77777777" w:rsidR="00CB5276" w:rsidRPr="002B3379" w:rsidRDefault="00CB5276">
      <w:pPr>
        <w:pStyle w:val="OrderBody"/>
      </w:pPr>
    </w:p>
    <w:p w14:paraId="0E0FDAA8" w14:textId="77777777" w:rsidR="002D075F" w:rsidRDefault="002D075F" w:rsidP="00156E0F">
      <w:pPr>
        <w:jc w:val="center"/>
        <w:rPr>
          <w:u w:val="single"/>
        </w:rPr>
      </w:pPr>
      <w:r>
        <w:rPr>
          <w:u w:val="single"/>
        </w:rPr>
        <w:t>FINAL ORDER APPROVING DETERMINATION OF NEED</w:t>
      </w:r>
    </w:p>
    <w:p w14:paraId="11440E2A" w14:textId="77777777" w:rsidR="00156E0F" w:rsidRPr="002B3379" w:rsidRDefault="002D075F" w:rsidP="00156E0F">
      <w:pPr>
        <w:jc w:val="center"/>
      </w:pPr>
      <w:r>
        <w:rPr>
          <w:u w:val="single"/>
        </w:rPr>
        <w:t>FOR ELECTRICAL TRANSMISSION LINES</w:t>
      </w:r>
    </w:p>
    <w:p w14:paraId="7AE01E65" w14:textId="77777777" w:rsidR="00156E0F" w:rsidRPr="002B3379" w:rsidRDefault="00156E0F" w:rsidP="00156E0F"/>
    <w:p w14:paraId="02FB114A" w14:textId="77777777" w:rsidR="0007165F" w:rsidRPr="002B3379" w:rsidRDefault="0007165F" w:rsidP="00156E0F"/>
    <w:p w14:paraId="74D2FC73" w14:textId="77777777" w:rsidR="00156E0F" w:rsidRPr="002B3379" w:rsidRDefault="0007165F" w:rsidP="00156E0F">
      <w:r w:rsidRPr="002B3379">
        <w:t>APPERANCES:</w:t>
      </w:r>
    </w:p>
    <w:p w14:paraId="5D2BCD4D" w14:textId="77777777" w:rsidR="00156E0F" w:rsidRPr="002B3379" w:rsidRDefault="00156E0F" w:rsidP="00156E0F"/>
    <w:p w14:paraId="746FE7C0" w14:textId="77777777" w:rsidR="00514736" w:rsidRPr="002B3379" w:rsidRDefault="00514736" w:rsidP="00514736">
      <w:pPr>
        <w:ind w:left="1440"/>
      </w:pPr>
      <w:r w:rsidRPr="002B3379">
        <w:t>WILLIAM P. COX and CHRISTOPHER WRIGHT, ESQUIRES, 700 Universe Boulevard, Juno Beach, Florida 33408</w:t>
      </w:r>
    </w:p>
    <w:p w14:paraId="041A965B" w14:textId="77777777" w:rsidR="00514736" w:rsidRPr="002B3379" w:rsidRDefault="00514736" w:rsidP="00514736">
      <w:pPr>
        <w:ind w:left="720" w:firstLine="720"/>
      </w:pPr>
      <w:r w:rsidRPr="002B3379">
        <w:rPr>
          <w:u w:val="single"/>
        </w:rPr>
        <w:t>On behalf of Florida Power &amp; Light Company (FPL)</w:t>
      </w:r>
    </w:p>
    <w:p w14:paraId="0B06E03A" w14:textId="77777777" w:rsidR="00514736" w:rsidRPr="002B3379" w:rsidRDefault="00514736" w:rsidP="00514736"/>
    <w:p w14:paraId="21D4C945" w14:textId="77777777" w:rsidR="00514736" w:rsidRPr="002B3379" w:rsidRDefault="00514736" w:rsidP="00514736">
      <w:pPr>
        <w:ind w:left="1440"/>
        <w:jc w:val="both"/>
      </w:pPr>
      <w:r w:rsidRPr="002B3379">
        <w:t>WALT TRIERWEILER, CHARLES J. REHWINKEL, and PATRICIA A. CHRISTENSEN, ESQUIRES, c/o The Florida Legislature, 111 West Madison Street, Suite 812, Tallahassee, Florida 32399</w:t>
      </w:r>
    </w:p>
    <w:p w14:paraId="7B3A1861" w14:textId="77777777" w:rsidR="00514736" w:rsidRPr="002B3379" w:rsidRDefault="00514736" w:rsidP="00514736">
      <w:pPr>
        <w:ind w:left="720" w:firstLine="720"/>
        <w:jc w:val="both"/>
      </w:pPr>
      <w:r w:rsidRPr="002B3379">
        <w:rPr>
          <w:u w:val="single"/>
        </w:rPr>
        <w:t>On behalf of the Office of Public Counsel (OPC)</w:t>
      </w:r>
      <w:r w:rsidRPr="002B3379">
        <w:t xml:space="preserve"> </w:t>
      </w:r>
    </w:p>
    <w:p w14:paraId="7EC649E7" w14:textId="77777777" w:rsidR="00514736" w:rsidRPr="002B3379" w:rsidRDefault="00514736" w:rsidP="00514736">
      <w:pPr>
        <w:ind w:left="720" w:firstLine="720"/>
        <w:jc w:val="both"/>
      </w:pPr>
    </w:p>
    <w:p w14:paraId="180E2F1D" w14:textId="77777777" w:rsidR="00514736" w:rsidRPr="002B3379" w:rsidRDefault="00514736" w:rsidP="00514736">
      <w:pPr>
        <w:ind w:left="1440"/>
        <w:jc w:val="both"/>
      </w:pPr>
      <w:r w:rsidRPr="002B3379">
        <w:t>ROBERT SCHEFFEL WRIGHT, JOHN T. LAVIA III, and TIMOTHY J. PERRY, ESQUIRES, Gardner Bist King &amp; Wood, 1300 Thomaswood Drive, Tallahassee, Florida 32308</w:t>
      </w:r>
    </w:p>
    <w:p w14:paraId="73321950" w14:textId="77777777" w:rsidR="00514736" w:rsidRPr="002B3379" w:rsidRDefault="00514736" w:rsidP="00514736">
      <w:pPr>
        <w:ind w:left="720" w:firstLine="720"/>
        <w:jc w:val="both"/>
      </w:pPr>
      <w:r w:rsidRPr="002B3379">
        <w:rPr>
          <w:u w:val="single"/>
        </w:rPr>
        <w:t>On behalf of Environmental Defense Fund, Inc. (EDF)</w:t>
      </w:r>
    </w:p>
    <w:p w14:paraId="64021197" w14:textId="77777777" w:rsidR="00514736" w:rsidRPr="002B3379" w:rsidRDefault="00514736" w:rsidP="00514736">
      <w:pPr>
        <w:jc w:val="both"/>
      </w:pPr>
    </w:p>
    <w:p w14:paraId="3E69ADB0" w14:textId="5E244F30" w:rsidR="00514736" w:rsidRPr="002B3379" w:rsidRDefault="00514736" w:rsidP="00514736">
      <w:pPr>
        <w:ind w:left="1440"/>
        <w:jc w:val="both"/>
      </w:pPr>
      <w:r w:rsidRPr="002B3379">
        <w:t xml:space="preserve">CARLOS </w:t>
      </w:r>
      <w:r w:rsidR="00255F8B">
        <w:t xml:space="preserve">M. </w:t>
      </w:r>
      <w:r w:rsidRPr="002B3379">
        <w:t>MARQUEZ</w:t>
      </w:r>
      <w:r w:rsidR="00255F8B">
        <w:t xml:space="preserve"> II</w:t>
      </w:r>
      <w:r w:rsidRPr="002B3379">
        <w:t xml:space="preserve"> and SHAW STILLER, ESQUIRES, Florida Public Service Commission, 2540 Shumard Oak Boulevard, Tallahassee, Florida 32399-0850</w:t>
      </w:r>
    </w:p>
    <w:p w14:paraId="77391EFD" w14:textId="77777777" w:rsidR="00514736" w:rsidRPr="002B3379" w:rsidRDefault="00514736" w:rsidP="00514736">
      <w:pPr>
        <w:ind w:left="720" w:firstLine="720"/>
        <w:jc w:val="both"/>
      </w:pPr>
      <w:r w:rsidRPr="002B3379">
        <w:rPr>
          <w:u w:val="single"/>
        </w:rPr>
        <w:t>On behalf of the Staff of the Florida Public Service Commission (Staff)</w:t>
      </w:r>
    </w:p>
    <w:p w14:paraId="6566B8E2" w14:textId="77777777" w:rsidR="00514736" w:rsidRPr="002B3379" w:rsidRDefault="00514736" w:rsidP="00514736">
      <w:pPr>
        <w:jc w:val="both"/>
      </w:pPr>
    </w:p>
    <w:p w14:paraId="30CFA260" w14:textId="77777777" w:rsidR="00514736" w:rsidRPr="002B3379" w:rsidRDefault="00514736" w:rsidP="00514736">
      <w:pPr>
        <w:ind w:left="1440"/>
        <w:jc w:val="both"/>
      </w:pPr>
      <w:r w:rsidRPr="002B3379">
        <w:t xml:space="preserve">MARY ANNE HELTON, ESQUIRE, </w:t>
      </w:r>
      <w:smartTag w:uri="urn:schemas-microsoft-com:office:smarttags" w:element="place">
        <w:smartTag w:uri="urn:schemas-microsoft-com:office:smarttags" w:element="City">
          <w:r w:rsidRPr="002B3379">
            <w:t>Deputy General</w:t>
          </w:r>
        </w:smartTag>
        <w:r w:rsidRPr="002B3379">
          <w:t xml:space="preserve"> </w:t>
        </w:r>
        <w:smartTag w:uri="urn:schemas-microsoft-com:office:smarttags" w:element="State">
          <w:r w:rsidRPr="002B3379">
            <w:t>Counsel</w:t>
          </w:r>
        </w:smartTag>
        <w:r w:rsidRPr="002B3379">
          <w:t xml:space="preserve">, </w:t>
        </w:r>
        <w:smartTag w:uri="urn:schemas-microsoft-com:office:smarttags" w:element="State">
          <w:r w:rsidRPr="002B3379">
            <w:t>Florida</w:t>
          </w:r>
        </w:smartTag>
      </w:smartTag>
      <w:r w:rsidRPr="002B3379">
        <w:t xml:space="preserve"> Public Service Commission, </w:t>
      </w:r>
      <w:smartTag w:uri="urn:schemas-microsoft-com:office:smarttags" w:element="address">
        <w:smartTag w:uri="urn:schemas-microsoft-com:office:smarttags" w:element="Street">
          <w:r w:rsidRPr="002B3379">
            <w:t>2540 Shumard Oak Boulevard</w:t>
          </w:r>
        </w:smartTag>
        <w:r w:rsidRPr="002B3379">
          <w:t xml:space="preserve">, </w:t>
        </w:r>
        <w:smartTag w:uri="urn:schemas-microsoft-com:office:smarttags" w:element="City">
          <w:r w:rsidRPr="002B3379">
            <w:t>Tallahassee</w:t>
          </w:r>
        </w:smartTag>
        <w:r w:rsidRPr="002B3379">
          <w:t xml:space="preserve">, </w:t>
        </w:r>
        <w:smartTag w:uri="urn:schemas-microsoft-com:office:smarttags" w:element="State">
          <w:r w:rsidRPr="002B3379">
            <w:t>Florida</w:t>
          </w:r>
        </w:smartTag>
        <w:r w:rsidRPr="002B3379">
          <w:t xml:space="preserve"> </w:t>
        </w:r>
        <w:smartTag w:uri="urn:schemas-microsoft-com:office:smarttags" w:element="PostalCode">
          <w:r w:rsidRPr="002B3379">
            <w:t>32399-0850</w:t>
          </w:r>
        </w:smartTag>
      </w:smartTag>
    </w:p>
    <w:p w14:paraId="28950269" w14:textId="77777777" w:rsidR="00514736" w:rsidRPr="002B3379" w:rsidRDefault="00514736" w:rsidP="00514736">
      <w:pPr>
        <w:ind w:left="720" w:firstLine="720"/>
        <w:jc w:val="both"/>
      </w:pPr>
      <w:r w:rsidRPr="002B3379">
        <w:rPr>
          <w:u w:val="single"/>
        </w:rPr>
        <w:t>Advisor to the Florida Public Service Commission</w:t>
      </w:r>
    </w:p>
    <w:p w14:paraId="0DA76531" w14:textId="77777777" w:rsidR="00514736" w:rsidRPr="002B3379" w:rsidRDefault="00514736" w:rsidP="00514736">
      <w:pPr>
        <w:ind w:left="1440"/>
        <w:jc w:val="both"/>
      </w:pPr>
      <w:r w:rsidRPr="002B3379">
        <w:lastRenderedPageBreak/>
        <w:t>ADRIA E. HARPER, ESQUIRE, General Counsel, Florida Public Service Commission, 2540 Shumard Oak Boulevard, Tallahassee, Florida 32399-0850</w:t>
      </w:r>
    </w:p>
    <w:p w14:paraId="69E1BE5F" w14:textId="77777777" w:rsidR="00514736" w:rsidRPr="002B3379" w:rsidRDefault="00514736" w:rsidP="00514736">
      <w:pPr>
        <w:ind w:left="720" w:firstLine="720"/>
        <w:jc w:val="both"/>
      </w:pPr>
      <w:r w:rsidRPr="002B3379">
        <w:rPr>
          <w:u w:val="single"/>
        </w:rPr>
        <w:t>Florida Public Service Commission General Counsel</w:t>
      </w:r>
    </w:p>
    <w:p w14:paraId="14513DD9" w14:textId="77777777" w:rsidR="00156E0F" w:rsidRPr="002B3379" w:rsidRDefault="00156E0F" w:rsidP="00156E0F"/>
    <w:p w14:paraId="0BBE6090" w14:textId="77777777" w:rsidR="0007165F" w:rsidRPr="002B3379" w:rsidRDefault="0007165F" w:rsidP="0007165F"/>
    <w:p w14:paraId="218B26AB" w14:textId="77777777" w:rsidR="0007165F" w:rsidRPr="002B3379" w:rsidRDefault="0007165F" w:rsidP="0007165F">
      <w:r w:rsidRPr="002B3379">
        <w:t>BY THE COMMISSION:</w:t>
      </w:r>
    </w:p>
    <w:p w14:paraId="725723FE" w14:textId="77777777" w:rsidR="0007165F" w:rsidRPr="002B3379" w:rsidRDefault="0007165F" w:rsidP="008358A5"/>
    <w:p w14:paraId="140CB81E" w14:textId="77777777" w:rsidR="0007165F" w:rsidRPr="00F40EF3" w:rsidRDefault="0007165F" w:rsidP="00463A80">
      <w:pPr>
        <w:jc w:val="center"/>
        <w:rPr>
          <w:b/>
        </w:rPr>
      </w:pPr>
      <w:r w:rsidRPr="00F40EF3">
        <w:rPr>
          <w:b/>
          <w:u w:val="single"/>
        </w:rPr>
        <w:t>BACKGROUND</w:t>
      </w:r>
    </w:p>
    <w:p w14:paraId="47001FA7" w14:textId="77777777" w:rsidR="0007165F" w:rsidRPr="002B3379" w:rsidRDefault="0007165F" w:rsidP="00543D8C">
      <w:pPr>
        <w:jc w:val="both"/>
      </w:pPr>
    </w:p>
    <w:p w14:paraId="4144249B" w14:textId="77777777" w:rsidR="00E95DF2" w:rsidRDefault="0007165F" w:rsidP="001E28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2B3379">
        <w:tab/>
        <w:t>On February 9, 2026, pursuant to Section 403.537, Florida Statutes (F.S.), and Rule 25-22.075, Florida Administrative Code (F.A.C.), Florida Power &amp; Light Company (FPL) filed a Notice of Intent to File Petition for Transmission Lines Need Determination. FPL subsequently filed its Petition to Determine Need for Electrical Transmission Lines on March 11, 2026, in accordance with Section 403.537, F.S., Chapter 120, F.S., and Rules 25-22.076 and 28-106.201, F.A.C.</w:t>
      </w:r>
    </w:p>
    <w:p w14:paraId="0CF2BBE3" w14:textId="77777777" w:rsidR="00E95DF2" w:rsidRDefault="00E95DF2" w:rsidP="001E28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0430B33" w14:textId="34AF83E4" w:rsidR="001E2871" w:rsidRPr="002B3379" w:rsidRDefault="00E95DF2" w:rsidP="001E28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E95DF2">
        <w:t xml:space="preserve">FPL </w:t>
      </w:r>
      <w:r>
        <w:t xml:space="preserve">petitioned for </w:t>
      </w:r>
      <w:r w:rsidRPr="00E95DF2">
        <w:t xml:space="preserve">an affirmative determination of need for the construction of four new </w:t>
      </w:r>
      <w:r>
        <w:t xml:space="preserve">high-voltage </w:t>
      </w:r>
      <w:r w:rsidRPr="00E95DF2">
        <w:t>transmission lines: (a) one 500-kilovolt (kV) line starting at FPL’s existing Andytown substation in Broward County and ending at FPL’s planned Oasis substation in Miami-Dade County; (b) one 500-kV line starting at FPL’s existing Quarry substation in Miami-Dade County and ending at FPL’s planned Oasis substation in Miami-Dade County; (c) one 230-kV line starting at FPL’s planned Oasis substation in Miami-Dade County and ending at FPL’s existing Quarry substation in Miami-Dade County; and (d) one 230-kV line starting at FPL’s planned Oasis substation in Miami-Dade County and ending at FPL’s existing Levee substation in Miami-Dade County (collectively, the Andytown-Oasis Transmission Lines Project or AOP).</w:t>
      </w:r>
    </w:p>
    <w:p w14:paraId="77116922" w14:textId="77777777" w:rsidR="00E47002" w:rsidRPr="002B3379" w:rsidRDefault="00E47002" w:rsidP="00543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1FB33BC" w14:textId="658555C5" w:rsidR="001B41C1" w:rsidRDefault="0007165F" w:rsidP="00543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2B3379">
        <w:tab/>
      </w:r>
      <w:r w:rsidR="00B6340F">
        <w:t>A formal administrative hearing was held on April 23, 2026</w:t>
      </w:r>
      <w:r w:rsidR="002576A4">
        <w:t>. Po</w:t>
      </w:r>
      <w:r w:rsidR="00463A80">
        <w:t xml:space="preserve">st-hearing briefs were filed by the parties on </w:t>
      </w:r>
      <w:r w:rsidR="002576A4">
        <w:t>April 29, 2026.</w:t>
      </w:r>
      <w:r w:rsidR="00463A80">
        <w:t xml:space="preserve"> On May 11, 2026, </w:t>
      </w:r>
      <w:r w:rsidR="005E433D">
        <w:t xml:space="preserve">we held a Special Agenda </w:t>
      </w:r>
      <w:r w:rsidR="001B674F">
        <w:t>C</w:t>
      </w:r>
      <w:r w:rsidR="005E433D">
        <w:t xml:space="preserve">onference where </w:t>
      </w:r>
      <w:r w:rsidR="005B29E6">
        <w:t xml:space="preserve">Florida Public Service </w:t>
      </w:r>
      <w:r w:rsidR="00463A80">
        <w:t xml:space="preserve">Commission </w:t>
      </w:r>
      <w:r w:rsidR="005B29E6">
        <w:t xml:space="preserve">(Commission) </w:t>
      </w:r>
      <w:r w:rsidR="00463A80">
        <w:t xml:space="preserve">staff provided us with an oral recommendation </w:t>
      </w:r>
      <w:r w:rsidR="007569BB">
        <w:t>on each issue</w:t>
      </w:r>
      <w:r w:rsidR="005E433D">
        <w:t>. After reviewing all the evidence</w:t>
      </w:r>
      <w:r w:rsidR="002158DC">
        <w:t>, and with the benefit of</w:t>
      </w:r>
      <w:r w:rsidR="005E433D">
        <w:t xml:space="preserve"> post-hearing briefs as well as Commission staff’s recommendation, we rendered our official vote</w:t>
      </w:r>
      <w:r w:rsidR="00A35D62">
        <w:t xml:space="preserve"> and decision for purposes of Section 403.537, F.S., </w:t>
      </w:r>
      <w:r w:rsidR="005E433D">
        <w:t>on May 11th approving each of the four transmission lines of the AOP, as discussed</w:t>
      </w:r>
      <w:r w:rsidR="001B41C1">
        <w:t xml:space="preserve"> within the body of this Order.</w:t>
      </w:r>
    </w:p>
    <w:p w14:paraId="251B102D" w14:textId="4B3EE4CF" w:rsidR="00451E3B" w:rsidRDefault="00451E3B" w:rsidP="00543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6DCBE81" w14:textId="40D39CB0" w:rsidR="00451E3B" w:rsidRDefault="00451E3B" w:rsidP="00543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EF0B26">
        <w:t>A</w:t>
      </w:r>
      <w:r>
        <w:t xml:space="preserve">n affirmative determination of need </w:t>
      </w:r>
      <w:r w:rsidR="00773DFE">
        <w:t>is a condition precedent to the conduct of the siting process</w:t>
      </w:r>
      <w:r w:rsidR="00407047">
        <w:t>es</w:t>
      </w:r>
      <w:r w:rsidR="00773DFE">
        <w:t xml:space="preserve"> under Chapter 403, F</w:t>
      </w:r>
      <w:r w:rsidR="000748D4">
        <w:t>.S.</w:t>
      </w:r>
      <w:r w:rsidR="00EF6AC4">
        <w:rPr>
          <w:rStyle w:val="FootnoteReference"/>
        </w:rPr>
        <w:footnoteReference w:id="1"/>
      </w:r>
      <w:r w:rsidR="00773DFE">
        <w:t xml:space="preserve"> </w:t>
      </w:r>
      <w:r w:rsidR="00EF0B26">
        <w:t xml:space="preserve">As we have noted in prior orders, </w:t>
      </w:r>
      <w:r w:rsidR="00BA783C">
        <w:t xml:space="preserve">it is prudent for a utility to continue to evaluate whether </w:t>
      </w:r>
      <w:r w:rsidR="001D4A1A">
        <w:t xml:space="preserve">a project </w:t>
      </w:r>
      <w:r w:rsidR="00226F97">
        <w:t>remains</w:t>
      </w:r>
      <w:r w:rsidR="00950ACE">
        <w:t xml:space="preserve"> </w:t>
      </w:r>
      <w:r w:rsidR="00F9218A">
        <w:t xml:space="preserve">in </w:t>
      </w:r>
      <w:r w:rsidR="00950ACE">
        <w:t>the b</w:t>
      </w:r>
      <w:r w:rsidR="001D4A1A">
        <w:t xml:space="preserve">est interests of its ratepayers. </w:t>
      </w:r>
      <w:r w:rsidR="00C45F0A">
        <w:t xml:space="preserve">If conditions change from those presented at the need determination proceeding, then a prudent utility </w:t>
      </w:r>
      <w:r w:rsidR="00226F97">
        <w:t>is</w:t>
      </w:r>
      <w:r w:rsidR="00C45F0A">
        <w:t xml:space="preserve"> expected to respond appropriately.</w:t>
      </w:r>
      <w:r w:rsidR="00F86C2F">
        <w:rPr>
          <w:rStyle w:val="FootnoteReference"/>
        </w:rPr>
        <w:footnoteReference w:id="2"/>
      </w:r>
    </w:p>
    <w:p w14:paraId="157387C4" w14:textId="77777777" w:rsidR="0007165F" w:rsidRDefault="001B41C1" w:rsidP="00543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r>
      <w:r w:rsidR="002158DC">
        <w:t>We are</w:t>
      </w:r>
      <w:r w:rsidR="0007165F" w:rsidRPr="002B3379">
        <w:t xml:space="preserve"> vested with subject matter jurisdiction</w:t>
      </w:r>
      <w:r w:rsidR="00B44E6F">
        <w:t xml:space="preserve"> over this matter</w:t>
      </w:r>
      <w:r w:rsidR="0007165F" w:rsidRPr="002B3379">
        <w:t xml:space="preserve"> pursuant to Section 403.537, F.S.</w:t>
      </w:r>
    </w:p>
    <w:p w14:paraId="0C2C34AF" w14:textId="77777777" w:rsidR="004044C5" w:rsidRDefault="004044C5" w:rsidP="000716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6EDE62F" w14:textId="77777777" w:rsidR="004044C5" w:rsidRPr="00F40EF3" w:rsidRDefault="004044C5" w:rsidP="00404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u w:val="single"/>
        </w:rPr>
      </w:pPr>
      <w:r w:rsidRPr="00F40EF3">
        <w:rPr>
          <w:b/>
          <w:u w:val="single"/>
        </w:rPr>
        <w:t>LEGAL STANDARD</w:t>
      </w:r>
    </w:p>
    <w:p w14:paraId="3FA44CED" w14:textId="77777777" w:rsidR="007F3DE1" w:rsidRDefault="007F3DE1" w:rsidP="00543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982BE5D" w14:textId="3474A07F" w:rsidR="009557D7" w:rsidRDefault="007F3DE1" w:rsidP="00543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EA2AB1">
        <w:t>Any transmission line</w:t>
      </w:r>
      <w:r w:rsidR="00523B7D">
        <w:rPr>
          <w:rStyle w:val="FootnoteReference"/>
        </w:rPr>
        <w:footnoteReference w:id="3"/>
      </w:r>
      <w:r w:rsidR="00EA2AB1">
        <w:t xml:space="preserve"> proposed by a Florida electric utility</w:t>
      </w:r>
      <w:r w:rsidR="00523B7D">
        <w:rPr>
          <w:rStyle w:val="FootnoteReference"/>
        </w:rPr>
        <w:footnoteReference w:id="4"/>
      </w:r>
      <w:r w:rsidR="00EA2AB1">
        <w:t xml:space="preserve"> which is designed to operate at 230</w:t>
      </w:r>
      <w:r w:rsidR="00802988">
        <w:t>-</w:t>
      </w:r>
      <w:r w:rsidR="00EA2AB1">
        <w:t>kV or more is subject to the Florida Electric Transmission Line Siting Act (TLSA) and, unless it meets one of four statutory ex</w:t>
      </w:r>
      <w:r w:rsidR="00E714BE">
        <w:t>em</w:t>
      </w:r>
      <w:r w:rsidR="00EA2AB1">
        <w:t xml:space="preserve">ptions, must receive an affirmative determination of need prior to construction. Section 403.524, F.S. </w:t>
      </w:r>
      <w:r w:rsidR="005B29E6" w:rsidRPr="005B29E6">
        <w:t xml:space="preserve">This </w:t>
      </w:r>
      <w:r w:rsidR="005B29E6">
        <w:t>Commission</w:t>
      </w:r>
      <w:r w:rsidR="005B29E6" w:rsidRPr="005B29E6">
        <w:t xml:space="preserve"> is the sole forum for </w:t>
      </w:r>
      <w:r w:rsidR="00F910B3">
        <w:t>a</w:t>
      </w:r>
      <w:r w:rsidR="00EA2AB1">
        <w:t xml:space="preserve"> </w:t>
      </w:r>
      <w:r w:rsidR="005B29E6" w:rsidRPr="005B29E6">
        <w:t>transmission line need determination</w:t>
      </w:r>
      <w:r w:rsidR="00EA2AB1">
        <w:t xml:space="preserve"> under</w:t>
      </w:r>
      <w:r w:rsidR="00290C78">
        <w:t xml:space="preserve"> the</w:t>
      </w:r>
      <w:r w:rsidR="00EA2AB1">
        <w:t xml:space="preserve"> TLSA. </w:t>
      </w:r>
      <w:r w:rsidR="00290C78">
        <w:t>Section 403.537(1)(b), F.S.</w:t>
      </w:r>
      <w:r w:rsidR="00EA2AB1">
        <w:t xml:space="preserve">; </w:t>
      </w:r>
      <w:r w:rsidR="00EA2AB1">
        <w:rPr>
          <w:i/>
        </w:rPr>
        <w:t>see</w:t>
      </w:r>
      <w:r w:rsidR="00290C78">
        <w:t xml:space="preserve"> </w:t>
      </w:r>
      <w:r w:rsidR="00F3774E">
        <w:rPr>
          <w:i/>
        </w:rPr>
        <w:t>Fla.</w:t>
      </w:r>
      <w:r w:rsidR="00290C78" w:rsidRPr="00290C78">
        <w:rPr>
          <w:i/>
        </w:rPr>
        <w:t xml:space="preserve"> Power Corp. v. State of Florida, Siting </w:t>
      </w:r>
      <w:r w:rsidR="00F3774E">
        <w:rPr>
          <w:i/>
        </w:rPr>
        <w:t>Bd.</w:t>
      </w:r>
      <w:r w:rsidR="00290C78">
        <w:t>, 513 So. 2d 1341, 1344 (Fla. 1st DCA 1987).</w:t>
      </w:r>
    </w:p>
    <w:p w14:paraId="2A8F3C71" w14:textId="77777777" w:rsidR="009557D7" w:rsidRDefault="009557D7" w:rsidP="00543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E9CD259" w14:textId="6AF121DF" w:rsidR="00E95DF2" w:rsidRDefault="00EA2AB1" w:rsidP="00543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D03AB8">
        <w:t>T</w:t>
      </w:r>
      <w:r w:rsidR="00E714BE">
        <w:t xml:space="preserve">ransmission lines that “are located in a single county in the state” </w:t>
      </w:r>
      <w:r w:rsidR="00D03AB8">
        <w:t>are</w:t>
      </w:r>
      <w:r w:rsidR="001D4CC0">
        <w:t xml:space="preserve"> statutorily</w:t>
      </w:r>
      <w:r w:rsidR="00D03AB8">
        <w:t xml:space="preserve"> exempt from the TLSA need determination requirements. </w:t>
      </w:r>
      <w:r w:rsidR="00E714BE">
        <w:t xml:space="preserve">Section 403.524(2)(d), F.S. </w:t>
      </w:r>
      <w:r w:rsidR="00E95DF2" w:rsidRPr="00641AF7">
        <w:t>Of the four substations</w:t>
      </w:r>
      <w:r w:rsidR="0087433E">
        <w:t xml:space="preserve"> involved in this proceeding</w:t>
      </w:r>
      <w:r w:rsidR="00E714BE">
        <w:t xml:space="preserve"> as starting and ending points for the </w:t>
      </w:r>
      <w:r w:rsidR="003B2979">
        <w:t xml:space="preserve">proposed </w:t>
      </w:r>
      <w:r w:rsidR="00E714BE">
        <w:t>transmission lines</w:t>
      </w:r>
      <w:r w:rsidR="00E95DF2" w:rsidRPr="00641AF7">
        <w:t xml:space="preserve">, only Andytown is located in Broward County. </w:t>
      </w:r>
      <w:r w:rsidR="00552D35">
        <w:t xml:space="preserve">The remaining three substations </w:t>
      </w:r>
      <w:r w:rsidR="00880E44">
        <w:t>will be within Miami-Dade County</w:t>
      </w:r>
      <w:r w:rsidR="005D0815">
        <w:t xml:space="preserve">. </w:t>
      </w:r>
      <w:r w:rsidR="00E95DF2" w:rsidRPr="00641AF7">
        <w:t xml:space="preserve">As a result, three of the four </w:t>
      </w:r>
      <w:r w:rsidR="0087433E">
        <w:t xml:space="preserve">transmission </w:t>
      </w:r>
      <w:r w:rsidR="00E95DF2" w:rsidRPr="00641AF7">
        <w:t xml:space="preserve">lines </w:t>
      </w:r>
      <w:r w:rsidR="0087433E">
        <w:t>of</w:t>
      </w:r>
      <w:r w:rsidR="00E95DF2" w:rsidRPr="00641AF7">
        <w:t xml:space="preserve"> the AOP </w:t>
      </w:r>
      <w:r w:rsidR="003B2979">
        <w:t>will be constructed</w:t>
      </w:r>
      <w:r w:rsidR="00E95DF2" w:rsidRPr="00641AF7">
        <w:t xml:space="preserve"> </w:t>
      </w:r>
      <w:r w:rsidR="0087433E">
        <w:t xml:space="preserve">entirely </w:t>
      </w:r>
      <w:r w:rsidR="00E95DF2" w:rsidRPr="00641AF7">
        <w:t>within Miami-Dade County and</w:t>
      </w:r>
      <w:r w:rsidR="00E714BE">
        <w:t xml:space="preserve">, although designed to operate at </w:t>
      </w:r>
      <w:r w:rsidR="00EB6A97">
        <w:t xml:space="preserve">a minimum of </w:t>
      </w:r>
      <w:r w:rsidR="00E714BE">
        <w:t>230</w:t>
      </w:r>
      <w:r w:rsidR="00EB6A97">
        <w:t>-</w:t>
      </w:r>
      <w:r w:rsidR="00E714BE">
        <w:t>kV,</w:t>
      </w:r>
      <w:r w:rsidR="0087433E">
        <w:t xml:space="preserve"> would </w:t>
      </w:r>
      <w:r w:rsidR="005C461F">
        <w:t xml:space="preserve">normally </w:t>
      </w:r>
      <w:r w:rsidR="00E714BE">
        <w:t>be exempt from</w:t>
      </w:r>
      <w:r w:rsidR="00E95DF2" w:rsidRPr="00641AF7">
        <w:t xml:space="preserve"> certification under the TLSA</w:t>
      </w:r>
      <w:r w:rsidR="00E714BE">
        <w:t xml:space="preserve">. However, the statutory </w:t>
      </w:r>
      <w:r w:rsidR="002C29B0">
        <w:t>provision</w:t>
      </w:r>
      <w:r w:rsidR="003B2979">
        <w:t xml:space="preserve"> that</w:t>
      </w:r>
      <w:r w:rsidR="002C29B0">
        <w:t xml:space="preserve"> exempt</w:t>
      </w:r>
      <w:r w:rsidR="003B2979">
        <w:t>s</w:t>
      </w:r>
      <w:r w:rsidR="002C29B0">
        <w:t xml:space="preserve"> intra-county lines from the TLSA </w:t>
      </w:r>
      <w:r w:rsidR="003B2979">
        <w:t>does</w:t>
      </w:r>
      <w:r w:rsidR="002C29B0">
        <w:t xml:space="preserve"> not apply if</w:t>
      </w:r>
      <w:r w:rsidR="00E714BE">
        <w:t xml:space="preserve"> </w:t>
      </w:r>
      <w:r w:rsidR="002C29B0">
        <w:t>“</w:t>
      </w:r>
      <w:r w:rsidR="00E714BE">
        <w:t>the applicant has applied for certification under this act.”</w:t>
      </w:r>
      <w:r w:rsidR="00E95DF2" w:rsidRPr="00641AF7">
        <w:t xml:space="preserve"> </w:t>
      </w:r>
      <w:r w:rsidR="002C29B0">
        <w:t>Section 403.524(2)(d), F.S. Because one of the four lines</w:t>
      </w:r>
      <w:r w:rsidR="001D4CC0">
        <w:t xml:space="preserve"> that comprise the AOP</w:t>
      </w:r>
      <w:r w:rsidR="003B2979">
        <w:t xml:space="preserve"> is subject to the TLSA and require</w:t>
      </w:r>
      <w:r w:rsidR="00F910B3">
        <w:t>d</w:t>
      </w:r>
      <w:r w:rsidR="003B2979">
        <w:t xml:space="preserve"> an application for a need determination</w:t>
      </w:r>
      <w:r w:rsidR="005C461F">
        <w:t xml:space="preserve"> (</w:t>
      </w:r>
      <w:r w:rsidR="005D0815">
        <w:t xml:space="preserve">in this case the 500-kv </w:t>
      </w:r>
      <w:r w:rsidR="005D0815" w:rsidRPr="00E95DF2">
        <w:t>Andytown</w:t>
      </w:r>
      <w:r w:rsidR="005D0815">
        <w:t>-Oasis transmission line</w:t>
      </w:r>
      <w:r w:rsidR="005C461F">
        <w:t>)</w:t>
      </w:r>
      <w:r w:rsidR="005D0815">
        <w:t xml:space="preserve">, </w:t>
      </w:r>
      <w:r w:rsidR="003B2979">
        <w:t>FPL</w:t>
      </w:r>
      <w:r w:rsidR="002C29B0">
        <w:t xml:space="preserve"> included the other </w:t>
      </w:r>
      <w:r w:rsidR="003B2979">
        <w:t xml:space="preserve">three </w:t>
      </w:r>
      <w:r w:rsidR="002C29B0">
        <w:t>lines</w:t>
      </w:r>
      <w:r w:rsidR="00E95DF2" w:rsidRPr="00641AF7">
        <w:t xml:space="preserve"> </w:t>
      </w:r>
      <w:r w:rsidR="0087433E">
        <w:t xml:space="preserve">in its petition </w:t>
      </w:r>
      <w:r w:rsidR="002C29B0">
        <w:t xml:space="preserve">as </w:t>
      </w:r>
      <w:r w:rsidR="00EB6A97">
        <w:t>permitted</w:t>
      </w:r>
      <w:r w:rsidR="002C29B0">
        <w:t xml:space="preserve"> by the statute</w:t>
      </w:r>
      <w:r w:rsidR="003B2979">
        <w:t xml:space="preserve"> to allow</w:t>
      </w:r>
      <w:r w:rsidR="002C29B0">
        <w:t xml:space="preserve"> </w:t>
      </w:r>
      <w:r w:rsidR="00E95DF2" w:rsidRPr="00641AF7">
        <w:t>for a more comprehensive review</w:t>
      </w:r>
      <w:r w:rsidR="001D4CC0">
        <w:t xml:space="preserve"> of the project as a whole</w:t>
      </w:r>
      <w:r w:rsidR="00E95DF2" w:rsidRPr="00641AF7">
        <w:t>.</w:t>
      </w:r>
    </w:p>
    <w:p w14:paraId="769F6255" w14:textId="77777777" w:rsidR="00E95DF2" w:rsidRDefault="00E95DF2" w:rsidP="00543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D27EE40" w14:textId="77BBB7A4" w:rsidR="007F3DE1" w:rsidRDefault="0087433E" w:rsidP="00543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7F3DE1">
        <w:t>Pursuant to Section 403.537(1)(c), F.S., in determining the need for transmission lines, we shall take into account:</w:t>
      </w:r>
    </w:p>
    <w:p w14:paraId="1FEBD209" w14:textId="77777777" w:rsidR="007F3DE1" w:rsidRDefault="007F3DE1" w:rsidP="00543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4E5735E" w14:textId="77777777" w:rsidR="007F3DE1" w:rsidRDefault="007F3DE1" w:rsidP="00543D8C">
      <w:pPr>
        <w:pStyle w:val="ListParagraph"/>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the need for electric system reliability and integrity;</w:t>
      </w:r>
    </w:p>
    <w:p w14:paraId="6187BDA8" w14:textId="77777777" w:rsidR="007F3DE1" w:rsidRDefault="007F3DE1" w:rsidP="00543D8C">
      <w:pPr>
        <w:pStyle w:val="ListParagraph"/>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the need for abundant, low-cost electrical energy to assure the economic well-being of the residents of </w:t>
      </w:r>
      <w:r w:rsidR="00C93269">
        <w:t>this state</w:t>
      </w:r>
      <w:r>
        <w:t>;</w:t>
      </w:r>
    </w:p>
    <w:p w14:paraId="2F83AE13" w14:textId="77777777" w:rsidR="007F3DE1" w:rsidRDefault="007F3DE1" w:rsidP="00543D8C">
      <w:pPr>
        <w:pStyle w:val="ListParagraph"/>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the appropriate starting and ending point of the line; and</w:t>
      </w:r>
    </w:p>
    <w:p w14:paraId="69B9D2C9" w14:textId="77777777" w:rsidR="004044C5" w:rsidRPr="002B3379" w:rsidRDefault="007F3DE1" w:rsidP="00543D8C">
      <w:pPr>
        <w:pStyle w:val="ListParagraph"/>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other matter</w:t>
      </w:r>
      <w:r w:rsidR="00FB0AD7">
        <w:t>s</w:t>
      </w:r>
      <w:r>
        <w:t xml:space="preserve"> within </w:t>
      </w:r>
      <w:r w:rsidR="00C93269">
        <w:t>the Commission’s</w:t>
      </w:r>
      <w:r>
        <w:t xml:space="preserve"> jurisdiction deemed relevant to the determination of need.</w:t>
      </w:r>
    </w:p>
    <w:p w14:paraId="3ECB5E17" w14:textId="205FEE27" w:rsidR="001B41C1" w:rsidRDefault="001B41C1" w:rsidP="00543D8C">
      <w:pPr>
        <w:jc w:val="both"/>
      </w:pPr>
    </w:p>
    <w:p w14:paraId="1B4001B9" w14:textId="38575919" w:rsidR="00A270D3" w:rsidRDefault="00A270D3" w:rsidP="00543D8C">
      <w:pPr>
        <w:jc w:val="both"/>
      </w:pPr>
    </w:p>
    <w:p w14:paraId="0A01EC47" w14:textId="7A691FF6" w:rsidR="00A270D3" w:rsidRDefault="00A270D3" w:rsidP="00543D8C">
      <w:pPr>
        <w:jc w:val="both"/>
      </w:pPr>
    </w:p>
    <w:p w14:paraId="2DFC188E" w14:textId="6964FECB" w:rsidR="00A270D3" w:rsidRDefault="00A270D3" w:rsidP="00543D8C">
      <w:pPr>
        <w:jc w:val="both"/>
      </w:pPr>
    </w:p>
    <w:p w14:paraId="628FA762" w14:textId="77777777" w:rsidR="00A270D3" w:rsidRDefault="00A270D3" w:rsidP="00543D8C">
      <w:pPr>
        <w:jc w:val="both"/>
      </w:pPr>
    </w:p>
    <w:p w14:paraId="1AE56BE7" w14:textId="77777777" w:rsidR="0007165F" w:rsidRPr="00F40EF3" w:rsidRDefault="00485D27" w:rsidP="0007165F">
      <w:pPr>
        <w:jc w:val="center"/>
        <w:rPr>
          <w:b/>
          <w:u w:val="single"/>
        </w:rPr>
      </w:pPr>
      <w:r w:rsidRPr="00F40EF3">
        <w:rPr>
          <w:b/>
          <w:u w:val="single"/>
        </w:rPr>
        <w:lastRenderedPageBreak/>
        <w:t xml:space="preserve">ANALYSIS AND </w:t>
      </w:r>
      <w:r w:rsidR="0007165F" w:rsidRPr="00F40EF3">
        <w:rPr>
          <w:b/>
          <w:u w:val="single"/>
        </w:rPr>
        <w:t>DECISION</w:t>
      </w:r>
    </w:p>
    <w:p w14:paraId="6E6944B2" w14:textId="77777777" w:rsidR="002B3379" w:rsidRPr="00485D27" w:rsidRDefault="002B3379" w:rsidP="00485D27">
      <w:pPr>
        <w:jc w:val="both"/>
      </w:pPr>
    </w:p>
    <w:p w14:paraId="577D6151" w14:textId="77777777" w:rsidR="00890418" w:rsidRPr="000A4F18" w:rsidRDefault="000A4F18" w:rsidP="00CC1349">
      <w:pPr>
        <w:pStyle w:val="ListParagraph"/>
        <w:numPr>
          <w:ilvl w:val="0"/>
          <w:numId w:val="15"/>
        </w:numPr>
        <w:ind w:left="720"/>
        <w:jc w:val="both"/>
        <w:rPr>
          <w:i/>
        </w:rPr>
      </w:pPr>
      <w:r w:rsidRPr="000A4F18">
        <w:rPr>
          <w:i/>
        </w:rPr>
        <w:t>Impact</w:t>
      </w:r>
      <w:r w:rsidR="00D23D2F">
        <w:rPr>
          <w:i/>
        </w:rPr>
        <w:t>s</w:t>
      </w:r>
      <w:r w:rsidRPr="000A4F18">
        <w:rPr>
          <w:i/>
        </w:rPr>
        <w:t xml:space="preserve"> of Federal Energy Regulatory Commission Orders</w:t>
      </w:r>
    </w:p>
    <w:p w14:paraId="000B35A0" w14:textId="77777777" w:rsidR="00CC1349" w:rsidRDefault="00CC1349" w:rsidP="00485D27">
      <w:pPr>
        <w:jc w:val="both"/>
      </w:pPr>
    </w:p>
    <w:p w14:paraId="057B1FFF" w14:textId="3339D097" w:rsidR="00BF5434" w:rsidRDefault="000A4F18" w:rsidP="00523B7D">
      <w:pPr>
        <w:jc w:val="both"/>
      </w:pPr>
      <w:r>
        <w:tab/>
      </w:r>
      <w:r w:rsidR="00485D27" w:rsidRPr="00485D27">
        <w:t xml:space="preserve">All parties to this </w:t>
      </w:r>
      <w:r w:rsidR="00614727">
        <w:t>proceeding</w:t>
      </w:r>
      <w:r w:rsidR="00485D27" w:rsidRPr="00485D27">
        <w:t xml:space="preserve"> correctly recognize that Section 403.537, F.S., governs trans</w:t>
      </w:r>
      <w:r w:rsidR="00614727">
        <w:t xml:space="preserve">mission line need determinations </w:t>
      </w:r>
      <w:r w:rsidR="00485D27" w:rsidRPr="00485D27">
        <w:t xml:space="preserve">before </w:t>
      </w:r>
      <w:r w:rsidR="005207A5">
        <w:t>this</w:t>
      </w:r>
      <w:r w:rsidR="00485D27" w:rsidRPr="00485D27">
        <w:t xml:space="preserve"> Commission. </w:t>
      </w:r>
      <w:r w:rsidR="00523B7D">
        <w:t>However, t</w:t>
      </w:r>
      <w:r w:rsidR="00485D27" w:rsidRPr="00485D27">
        <w:t>he</w:t>
      </w:r>
      <w:r w:rsidR="00523B7D">
        <w:t xml:space="preserve"> parties</w:t>
      </w:r>
      <w:r w:rsidR="00485D27" w:rsidRPr="00485D27">
        <w:t xml:space="preserve"> disagree regarding the scope of considerations that </w:t>
      </w:r>
      <w:r w:rsidR="003D20AF">
        <w:t>we</w:t>
      </w:r>
      <w:r w:rsidR="00485D27" w:rsidRPr="00485D27">
        <w:t xml:space="preserve"> </w:t>
      </w:r>
      <w:r w:rsidR="00D01B75">
        <w:t>must</w:t>
      </w:r>
      <w:r w:rsidR="00485D27" w:rsidRPr="00485D27">
        <w:t xml:space="preserve"> take into account during such proceedings. </w:t>
      </w:r>
      <w:r w:rsidR="00523B7D" w:rsidRPr="00485D27">
        <w:t xml:space="preserve">Subsection (1)(c) of Section 403.537, F.S., directs </w:t>
      </w:r>
      <w:r w:rsidR="00523B7D">
        <w:t xml:space="preserve">us </w:t>
      </w:r>
      <w:r w:rsidR="00523B7D" w:rsidRPr="00485D27">
        <w:t xml:space="preserve">to “take into account . . . other matters within </w:t>
      </w:r>
      <w:r w:rsidR="00523B7D">
        <w:t>[our]</w:t>
      </w:r>
      <w:r w:rsidR="00523B7D" w:rsidRPr="00485D27">
        <w:t xml:space="preserve"> jurisdiction deemed relevant to the determination of need.”</w:t>
      </w:r>
      <w:r w:rsidR="00523B7D">
        <w:t xml:space="preserve"> To fall within this catch-all provision, something must be </w:t>
      </w:r>
      <w:r w:rsidR="00523B7D" w:rsidRPr="005D6D73">
        <w:rPr>
          <w:i/>
        </w:rPr>
        <w:t>both</w:t>
      </w:r>
      <w:r w:rsidR="00523B7D">
        <w:t xml:space="preserve"> within our jurisdiction </w:t>
      </w:r>
      <w:r w:rsidR="00523B7D" w:rsidRPr="005D6D73">
        <w:rPr>
          <w:i/>
        </w:rPr>
        <w:t xml:space="preserve">and </w:t>
      </w:r>
      <w:r w:rsidR="00523B7D" w:rsidRPr="00D478D3">
        <w:t>deemed</w:t>
      </w:r>
      <w:r w:rsidR="00523B7D">
        <w:t xml:space="preserve"> relevant by us to the determination of need. EDF and OPC argue that </w:t>
      </w:r>
      <w:r w:rsidR="00523B7D" w:rsidRPr="00485D27">
        <w:t xml:space="preserve">Federal Energy Regulatory Commission (FERC) Order Nos. 1000, 1920, 1920-A, and 1920-B are relevant to this proceeding and </w:t>
      </w:r>
      <w:r w:rsidR="00523B7D">
        <w:t>within our jurisdiction.</w:t>
      </w:r>
      <w:r w:rsidR="00523B7D" w:rsidRPr="00523B7D">
        <w:t xml:space="preserve"> </w:t>
      </w:r>
      <w:r w:rsidR="00523B7D" w:rsidRPr="00485D27">
        <w:t xml:space="preserve">Given the totality of circumstances presented in this case, with the benefit of a full evidentiary record, </w:t>
      </w:r>
      <w:r w:rsidR="00523B7D">
        <w:t xml:space="preserve">we disagree and find that those FERC Orders are not relevant to this proceeding and </w:t>
      </w:r>
      <w:r w:rsidR="007C6718">
        <w:t xml:space="preserve">are </w:t>
      </w:r>
      <w:r w:rsidR="00523B7D">
        <w:t>beyond our jurisdiction</w:t>
      </w:r>
      <w:r w:rsidR="00627E1B">
        <w:t>, as discussed more fully below</w:t>
      </w:r>
      <w:r w:rsidR="00523B7D">
        <w:t>.</w:t>
      </w:r>
    </w:p>
    <w:p w14:paraId="5F873BCC" w14:textId="77777777" w:rsidR="005207A5" w:rsidRDefault="005207A5" w:rsidP="00485D27">
      <w:pPr>
        <w:jc w:val="both"/>
      </w:pPr>
    </w:p>
    <w:p w14:paraId="620DE9DB" w14:textId="77777777" w:rsidR="00F40EF3" w:rsidRPr="00F40EF3" w:rsidRDefault="00F40EF3" w:rsidP="00F40EF3">
      <w:pPr>
        <w:pStyle w:val="ListParagraph"/>
        <w:numPr>
          <w:ilvl w:val="0"/>
          <w:numId w:val="16"/>
        </w:numPr>
        <w:ind w:left="1440" w:hanging="720"/>
        <w:jc w:val="both"/>
        <w:rPr>
          <w:u w:val="single"/>
        </w:rPr>
      </w:pPr>
      <w:r w:rsidRPr="00F40EF3">
        <w:rPr>
          <w:u w:val="single"/>
        </w:rPr>
        <w:t>FERC Order No. 1000</w:t>
      </w:r>
    </w:p>
    <w:p w14:paraId="4AD17437" w14:textId="77777777" w:rsidR="00F40EF3" w:rsidRDefault="00F40EF3" w:rsidP="00485D27">
      <w:pPr>
        <w:jc w:val="both"/>
      </w:pPr>
    </w:p>
    <w:p w14:paraId="60642CE8" w14:textId="77777777" w:rsidR="00EF780B" w:rsidRDefault="00EF780B" w:rsidP="00EF780B">
      <w:pPr>
        <w:pStyle w:val="ListParagraph"/>
        <w:numPr>
          <w:ilvl w:val="0"/>
          <w:numId w:val="17"/>
        </w:numPr>
        <w:ind w:left="2160" w:hanging="720"/>
        <w:jc w:val="both"/>
      </w:pPr>
      <w:r>
        <w:t>Jurisdiction</w:t>
      </w:r>
    </w:p>
    <w:p w14:paraId="7E1BB2B1" w14:textId="3DEA5791" w:rsidR="00EF780B" w:rsidRDefault="00EF780B" w:rsidP="00EF780B">
      <w:pPr>
        <w:jc w:val="both"/>
      </w:pPr>
    </w:p>
    <w:p w14:paraId="622E29F8" w14:textId="4F5D696D" w:rsidR="00F6143C" w:rsidRDefault="00F6143C" w:rsidP="00EF780B">
      <w:pPr>
        <w:jc w:val="both"/>
      </w:pPr>
      <w:r>
        <w:tab/>
        <w:t xml:space="preserve">FERC Order No. 1000, issued July 2011, </w:t>
      </w:r>
      <w:r w:rsidR="006A1519">
        <w:t xml:space="preserve">was intended to improve transmission planning and </w:t>
      </w:r>
      <w:r>
        <w:t xml:space="preserve">cost allocation </w:t>
      </w:r>
      <w:r w:rsidR="006A1519">
        <w:t>mechanisms</w:t>
      </w:r>
      <w:r>
        <w:t xml:space="preserve"> </w:t>
      </w:r>
      <w:r w:rsidR="006A1519">
        <w:t>by requiring</w:t>
      </w:r>
      <w:r>
        <w:t xml:space="preserve"> FERC-jurisdictional </w:t>
      </w:r>
      <w:r w:rsidR="006A1519">
        <w:t xml:space="preserve">transmission providers to participate in a </w:t>
      </w:r>
      <w:r w:rsidR="008547A5">
        <w:t xml:space="preserve">regional planning </w:t>
      </w:r>
      <w:r w:rsidR="006A1519">
        <w:t>process that accounts for reliability, cost-effectiveness, and public policy. FERC Order No. 1000, ¶¶</w:t>
      </w:r>
      <w:r w:rsidR="009435B6">
        <w:t xml:space="preserve"> 1–</w:t>
      </w:r>
      <w:r w:rsidR="00A00584">
        <w:t>12.</w:t>
      </w:r>
      <w:r w:rsidR="007E6583">
        <w:t xml:space="preserve"> Under the regional transmission planning framework of FERC Order No. 1000, a project is considered “regional” if it provides benefits to two or more FERC-jurisdictional transmission providers. </w:t>
      </w:r>
      <w:r w:rsidR="007E6583" w:rsidRPr="00580B22">
        <w:rPr>
          <w:i/>
        </w:rPr>
        <w:t>See</w:t>
      </w:r>
      <w:r w:rsidR="007E6583">
        <w:t xml:space="preserve"> FERC Order No. 1000, ¶¶ 63–66 (referring to cost-allocation principles in addressing a regional transmission need).</w:t>
      </w:r>
    </w:p>
    <w:p w14:paraId="01A66776" w14:textId="77777777" w:rsidR="00F6143C" w:rsidRDefault="00F6143C" w:rsidP="00EF780B">
      <w:pPr>
        <w:jc w:val="both"/>
      </w:pPr>
    </w:p>
    <w:p w14:paraId="07A33E85" w14:textId="7EBB03C8" w:rsidR="0019774B" w:rsidRDefault="0019774B" w:rsidP="00EF780B">
      <w:pPr>
        <w:jc w:val="both"/>
      </w:pPr>
      <w:r>
        <w:tab/>
      </w:r>
      <w:r w:rsidR="00EB0209">
        <w:t xml:space="preserve">EDF argues that FERC Order No. 1000 is within our jurisdiction to consider because of our jurisdiction over the planning and development of transmission facilities to ensure reliability and avoid uneconomic duplication of transmission facilities as well as our overarching statutory mandate to regulate utilities in the public interest. </w:t>
      </w:r>
      <w:r>
        <w:t xml:space="preserve">EDF </w:t>
      </w:r>
      <w:r w:rsidR="00EB0209">
        <w:t>adds</w:t>
      </w:r>
      <w:r w:rsidR="007055E2">
        <w:t xml:space="preserve"> that under principles of federal supremacy, state regulatory commissions must consider and give effect to FERC-approved tariffs and federal transmission regulations. </w:t>
      </w:r>
      <w:r w:rsidR="003D415A">
        <w:t xml:space="preserve">OPC </w:t>
      </w:r>
      <w:r w:rsidR="0063287C">
        <w:t xml:space="preserve">averred </w:t>
      </w:r>
      <w:r w:rsidR="003D415A">
        <w:t xml:space="preserve">that </w:t>
      </w:r>
      <w:r w:rsidR="00C576F5">
        <w:t xml:space="preserve">Rule 25-22.076(3), F.A.C., indicates regional information subject to FERC’s jurisdiction is appropriate for us to consider. </w:t>
      </w:r>
      <w:r w:rsidR="00373CC2">
        <w:t xml:space="preserve">FPL </w:t>
      </w:r>
      <w:r w:rsidR="007C6718">
        <w:t>counter</w:t>
      </w:r>
      <w:r w:rsidR="00A9537B">
        <w:t>s that nothing in either Section 403.537 or Section 366.04(5), F.S., grants this Commission authority to enforce, implement, revise, supervise, or entertain complaints or collateral attacks on regional transmission planning processes. For the following reasons, we conclude FERC Order No. 1000 is beyond our jurisdiction.</w:t>
      </w:r>
    </w:p>
    <w:p w14:paraId="1CA21E81" w14:textId="77777777" w:rsidR="0019774B" w:rsidRDefault="0019774B" w:rsidP="00EF780B">
      <w:pPr>
        <w:jc w:val="both"/>
      </w:pPr>
    </w:p>
    <w:p w14:paraId="1278F875" w14:textId="310F59FB" w:rsidR="00224F98" w:rsidRPr="00220257" w:rsidRDefault="002964F5" w:rsidP="00543D8C">
      <w:pPr>
        <w:ind w:firstLine="720"/>
        <w:jc w:val="both"/>
      </w:pPr>
      <w:r>
        <w:t xml:space="preserve">“As the State entity charged by law with planning and regulating the generation and transmission of electrical power throughout Florida, the [Commission] is to determine its own jurisdiction.” </w:t>
      </w:r>
      <w:r w:rsidRPr="008C0263">
        <w:rPr>
          <w:i/>
        </w:rPr>
        <w:t>Roemmele-Putney v. Reynolds</w:t>
      </w:r>
      <w:r>
        <w:t xml:space="preserve">, 106 So. 3d 78, 80 (Fla. 1st DCA 2013). </w:t>
      </w:r>
      <w:r w:rsidR="00A35D03">
        <w:t xml:space="preserve">In </w:t>
      </w:r>
      <w:r w:rsidR="00A35D03" w:rsidRPr="00EA50D3">
        <w:rPr>
          <w:i/>
        </w:rPr>
        <w:t>Florida Public Service Commission v. Bryson</w:t>
      </w:r>
      <w:r w:rsidR="00A35D03">
        <w:t xml:space="preserve">, the Florida Supreme Court recognized </w:t>
      </w:r>
      <w:r>
        <w:t xml:space="preserve">our </w:t>
      </w:r>
      <w:r w:rsidR="00A35D03">
        <w:t>discretion</w:t>
      </w:r>
      <w:r>
        <w:t xml:space="preserve"> </w:t>
      </w:r>
      <w:r w:rsidR="00A35D03">
        <w:t xml:space="preserve">“to interpret the statutes that empower [us], including jurisdictional statutes, and to make rules and </w:t>
      </w:r>
      <w:r w:rsidR="00A35D03">
        <w:lastRenderedPageBreak/>
        <w:t>issue</w:t>
      </w:r>
      <w:r w:rsidR="00AB582B">
        <w:t xml:space="preserve"> </w:t>
      </w:r>
      <w:r w:rsidR="00A35D03">
        <w:t>orders accordingly.</w:t>
      </w:r>
      <w:r w:rsidR="008C0263">
        <w:t>”</w:t>
      </w:r>
      <w:r w:rsidR="007B18DA">
        <w:t xml:space="preserve"> </w:t>
      </w:r>
      <w:r w:rsidR="00471213">
        <w:t xml:space="preserve">569 So. 2d 1253, 1255 (Fla. 1990). </w:t>
      </w:r>
      <w:r w:rsidR="00AA715F">
        <w:t xml:space="preserve">In resolving jurisdictional issues, courts have looked to the nature of the relief sought “because it is the </w:t>
      </w:r>
      <w:r w:rsidR="00AA715F" w:rsidRPr="00AA715F">
        <w:rPr>
          <w:i/>
        </w:rPr>
        <w:t>nature of the relief sought</w:t>
      </w:r>
      <w:r w:rsidR="00AA715F">
        <w:t xml:space="preserve">, not the language of the complaint, that ultimately determines which tribunal has jurisdiction over the claim.” </w:t>
      </w:r>
      <w:r w:rsidR="00AA715F" w:rsidRPr="00BB28E0">
        <w:rPr>
          <w:i/>
        </w:rPr>
        <w:t>Fla. Power &amp; Light Co. v. Albert Litter Studios, Inc.</w:t>
      </w:r>
      <w:r w:rsidR="00AA715F">
        <w:t>, 896 So. 2d 891, 893 (Fla. 3d DCA 2005)</w:t>
      </w:r>
      <w:r w:rsidR="00813F19">
        <w:t xml:space="preserve"> (emphasis in original)</w:t>
      </w:r>
      <w:r w:rsidR="00AA715F">
        <w:t xml:space="preserve">. </w:t>
      </w:r>
      <w:r w:rsidR="003453A1">
        <w:t xml:space="preserve">Although “states retain authority over transmission-line siting, permitting, and construction, and apply state law in reviewing transmission-line applications,” </w:t>
      </w:r>
      <w:r w:rsidR="003453A1" w:rsidRPr="0078094E">
        <w:rPr>
          <w:i/>
        </w:rPr>
        <w:t>Transource Pennsylvania, LLC v. DeFrank</w:t>
      </w:r>
      <w:r w:rsidR="003453A1">
        <w:t xml:space="preserve">, 156 F. 4th 351, 364 (3d Cir. 2025), </w:t>
      </w:r>
      <w:r w:rsidR="00393F64">
        <w:t>j</w:t>
      </w:r>
      <w:r w:rsidR="007B18DA">
        <w:t xml:space="preserve">urisdiction over the regional transmission planning process contemplated </w:t>
      </w:r>
      <w:r w:rsidR="00220257">
        <w:t>in</w:t>
      </w:r>
      <w:r w:rsidR="007B18DA">
        <w:t xml:space="preserve"> FERC Order No. 1000 </w:t>
      </w:r>
      <w:r w:rsidR="003453A1">
        <w:t xml:space="preserve">rests with </w:t>
      </w:r>
      <w:r w:rsidR="00220257">
        <w:t>FERC pursuant to the Federal Power Act</w:t>
      </w:r>
      <w:r w:rsidR="00471213">
        <w:t>,</w:t>
      </w:r>
      <w:r w:rsidR="00220257">
        <w:t xml:space="preserve"> 16 U.S.C. §§ 791, </w:t>
      </w:r>
      <w:r w:rsidR="00220257" w:rsidRPr="00220257">
        <w:rPr>
          <w:i/>
        </w:rPr>
        <w:t>et seq.</w:t>
      </w:r>
      <w:r w:rsidR="0078094E">
        <w:t xml:space="preserve"> </w:t>
      </w:r>
      <w:r w:rsidR="00471213">
        <w:rPr>
          <w:i/>
        </w:rPr>
        <w:t>S</w:t>
      </w:r>
      <w:r w:rsidR="00471213" w:rsidRPr="0078094E">
        <w:rPr>
          <w:i/>
        </w:rPr>
        <w:t xml:space="preserve">ee </w:t>
      </w:r>
      <w:r w:rsidR="0078094E" w:rsidRPr="0078094E">
        <w:rPr>
          <w:i/>
        </w:rPr>
        <w:t>also</w:t>
      </w:r>
      <w:r w:rsidR="0078094E">
        <w:t xml:space="preserve"> </w:t>
      </w:r>
      <w:r w:rsidR="0078094E" w:rsidRPr="0078094E">
        <w:rPr>
          <w:i/>
        </w:rPr>
        <w:t>Transource</w:t>
      </w:r>
      <w:r w:rsidR="0078094E">
        <w:t xml:space="preserve">, 156 F. 4th </w:t>
      </w:r>
      <w:r w:rsidR="003453A1">
        <w:t xml:space="preserve">at </w:t>
      </w:r>
      <w:r w:rsidR="0078094E">
        <w:t>377.</w:t>
      </w:r>
      <w:r w:rsidR="00220257">
        <w:t xml:space="preserve"> </w:t>
      </w:r>
      <w:r w:rsidR="002C6F70">
        <w:t xml:space="preserve">Florida’s statutes do not confer upon us </w:t>
      </w:r>
      <w:r w:rsidR="00220257">
        <w:t xml:space="preserve">a comparable scope of authority over that </w:t>
      </w:r>
      <w:r w:rsidR="009B540D">
        <w:t xml:space="preserve">specific </w:t>
      </w:r>
      <w:r w:rsidR="00220257">
        <w:t>process.</w:t>
      </w:r>
    </w:p>
    <w:p w14:paraId="45E05FD1" w14:textId="77777777" w:rsidR="00224F98" w:rsidRDefault="00224F98" w:rsidP="00224F98">
      <w:pPr>
        <w:jc w:val="both"/>
      </w:pPr>
    </w:p>
    <w:p w14:paraId="4BC8C16C" w14:textId="4E05927B" w:rsidR="00224F98" w:rsidRDefault="00224F98" w:rsidP="00224F98">
      <w:pPr>
        <w:jc w:val="both"/>
      </w:pPr>
      <w:r>
        <w:tab/>
      </w:r>
      <w:r w:rsidR="00AF54BD">
        <w:t xml:space="preserve">We disagree with </w:t>
      </w:r>
      <w:r w:rsidRPr="00AF3F38">
        <w:t xml:space="preserve">EDF’s </w:t>
      </w:r>
      <w:r w:rsidR="00AF54BD">
        <w:t xml:space="preserve">argument that </w:t>
      </w:r>
      <w:r w:rsidRPr="00AF3F38">
        <w:t>Section 366.04(5), F.S., expand</w:t>
      </w:r>
      <w:r w:rsidR="00AF54BD">
        <w:t>s</w:t>
      </w:r>
      <w:r w:rsidRPr="00AF3F38">
        <w:t xml:space="preserve"> </w:t>
      </w:r>
      <w:r w:rsidR="00AF54BD">
        <w:t>our jurisdiction over the issues in this case</w:t>
      </w:r>
      <w:r w:rsidR="00471213">
        <w:t xml:space="preserve"> to include FERC Order No. 1000</w:t>
      </w:r>
      <w:r w:rsidR="00AF54BD">
        <w:t xml:space="preserve">. </w:t>
      </w:r>
      <w:r w:rsidRPr="00AF3F38">
        <w:t xml:space="preserve">That statute empowers </w:t>
      </w:r>
      <w:r w:rsidR="00BD417A">
        <w:t xml:space="preserve">us </w:t>
      </w:r>
      <w:r w:rsidRPr="00AF3F38">
        <w:t xml:space="preserve">to avoid “uneconomic duplication of generation, transmission, and distribution facilities” between utilities. Nothing therein brings FERC Order </w:t>
      </w:r>
      <w:r w:rsidR="00BD417A">
        <w:t xml:space="preserve">No. 1000 </w:t>
      </w:r>
      <w:r w:rsidRPr="00AF3F38">
        <w:t xml:space="preserve">within </w:t>
      </w:r>
      <w:r w:rsidR="00BD417A">
        <w:t>this</w:t>
      </w:r>
      <w:r w:rsidRPr="00AF3F38">
        <w:t xml:space="preserve"> Commission’s jurisdiction. EDF’s </w:t>
      </w:r>
      <w:r w:rsidR="00BD417A">
        <w:t>assertion</w:t>
      </w:r>
      <w:r w:rsidRPr="00AF3F38">
        <w:t xml:space="preserve"> that the </w:t>
      </w:r>
      <w:r w:rsidRPr="00AF3F38">
        <w:rPr>
          <w:i/>
        </w:rPr>
        <w:t>possible</w:t>
      </w:r>
      <w:r w:rsidRPr="00AF3F38">
        <w:t xml:space="preserve"> use of technological alternatives somehow renders the proposed AOP duplicative would mean every project presented </w:t>
      </w:r>
      <w:r w:rsidR="00BD417A">
        <w:t>to us was,</w:t>
      </w:r>
      <w:r w:rsidRPr="00AF3F38">
        <w:t xml:space="preserve"> under EDF’s reading, always duplicative of some other theoretical option. </w:t>
      </w:r>
      <w:r w:rsidR="00BD417A">
        <w:t>The record before us, however, does not</w:t>
      </w:r>
      <w:r w:rsidR="00550D60">
        <w:t xml:space="preserve"> </w:t>
      </w:r>
      <w:r w:rsidR="00BD417A">
        <w:t>demonstrate that the unde</w:t>
      </w:r>
      <w:r w:rsidRPr="00AF3F38">
        <w:t xml:space="preserve">rlying need for the AOP is already being addressed by facilities approved for, or facilities </w:t>
      </w:r>
      <w:r w:rsidR="00BD417A">
        <w:t xml:space="preserve">to be </w:t>
      </w:r>
      <w:r w:rsidRPr="00AF3F38">
        <w:t>put in place by</w:t>
      </w:r>
      <w:r w:rsidR="00BD417A">
        <w:t>, Florida’s electric utilities.</w:t>
      </w:r>
    </w:p>
    <w:p w14:paraId="6FB126AC" w14:textId="77777777" w:rsidR="00A460B7" w:rsidRDefault="00A460B7" w:rsidP="00224F98">
      <w:pPr>
        <w:jc w:val="both"/>
      </w:pPr>
    </w:p>
    <w:p w14:paraId="7A257789" w14:textId="0BDA5F1F" w:rsidR="0022111A" w:rsidRDefault="0022111A" w:rsidP="0022111A">
      <w:pPr>
        <w:jc w:val="both"/>
      </w:pPr>
      <w:r>
        <w:tab/>
        <w:t xml:space="preserve">In Florida, the </w:t>
      </w:r>
      <w:r w:rsidR="000B28CC">
        <w:t>Florida Reliability Coordinating Council (</w:t>
      </w:r>
      <w:r>
        <w:t>FRCC</w:t>
      </w:r>
      <w:r w:rsidR="000B28CC">
        <w:t>)</w:t>
      </w:r>
      <w:r>
        <w:t xml:space="preserve"> is charged with considering FERC’s orders and rules as it facilitates </w:t>
      </w:r>
      <w:r w:rsidR="001A5B31">
        <w:t>th</w:t>
      </w:r>
      <w:r w:rsidR="00471213">
        <w:t>e</w:t>
      </w:r>
      <w:r>
        <w:t xml:space="preserve"> regional planning process. </w:t>
      </w:r>
      <w:r w:rsidR="001A5B31">
        <w:t xml:space="preserve">The </w:t>
      </w:r>
      <w:r>
        <w:t xml:space="preserve">FRCC is a member-services organization </w:t>
      </w:r>
      <w:r w:rsidR="00471213">
        <w:t>comprised of utilities. T</w:t>
      </w:r>
      <w:r w:rsidR="00D55C53">
        <w:t>his</w:t>
      </w:r>
      <w:r>
        <w:t xml:space="preserve"> Commission is not </w:t>
      </w:r>
      <w:r w:rsidR="00471213">
        <w:t xml:space="preserve">a </w:t>
      </w:r>
      <w:r>
        <w:t>part of</w:t>
      </w:r>
      <w:r w:rsidR="00471213">
        <w:t xml:space="preserve"> the FRCC</w:t>
      </w:r>
      <w:r>
        <w:t xml:space="preserve">, and as such, </w:t>
      </w:r>
      <w:r w:rsidR="00D55C53">
        <w:t xml:space="preserve">we do </w:t>
      </w:r>
      <w:r>
        <w:t xml:space="preserve">not participate in the planning, operation, or recommendations developed by </w:t>
      </w:r>
      <w:r w:rsidR="001A5B31">
        <w:t xml:space="preserve">the </w:t>
      </w:r>
      <w:r>
        <w:t xml:space="preserve">FRCC. </w:t>
      </w:r>
      <w:r w:rsidR="00570FEC">
        <w:t xml:space="preserve">The testimonies of </w:t>
      </w:r>
      <w:r>
        <w:t xml:space="preserve">EDF witnesses Cranston and Thomas </w:t>
      </w:r>
      <w:r w:rsidR="00570FEC">
        <w:t xml:space="preserve">seek to </w:t>
      </w:r>
      <w:r>
        <w:t>call into question the efficacy of the FRCC</w:t>
      </w:r>
      <w:r w:rsidR="00570FEC">
        <w:t xml:space="preserve"> as a regional planning entity. </w:t>
      </w:r>
      <w:r w:rsidR="00B26FB9">
        <w:t xml:space="preserve">However, we do not </w:t>
      </w:r>
      <w:r>
        <w:t xml:space="preserve">regulate the FRCC and cannot grant the relief requested by EDF’s witnesses as it relates to </w:t>
      </w:r>
      <w:r w:rsidR="000A5C34">
        <w:t>forcing</w:t>
      </w:r>
      <w:r>
        <w:t xml:space="preserve"> FPL to conduct </w:t>
      </w:r>
      <w:r w:rsidR="000A5C34">
        <w:t xml:space="preserve">the </w:t>
      </w:r>
      <w:r>
        <w:t xml:space="preserve">so-called “true” </w:t>
      </w:r>
      <w:r w:rsidR="000A5C34">
        <w:t xml:space="preserve">FERC Order No. 1000 </w:t>
      </w:r>
      <w:r>
        <w:t>regional</w:t>
      </w:r>
      <w:r w:rsidR="000A5C34">
        <w:t xml:space="preserve"> transmission planning analyses </w:t>
      </w:r>
      <w:r>
        <w:t xml:space="preserve">with full and timely opportunities for stakeholder involvement in that process. </w:t>
      </w:r>
      <w:r w:rsidR="000A5C34">
        <w:t xml:space="preserve">Nor can we adjudicate EDF’s allegation that FPL has violated its FERC Open Access Transmission Tariff. </w:t>
      </w:r>
      <w:r w:rsidR="00B26FB9">
        <w:t xml:space="preserve">Whether or not the FRCC adequately furthers the letter or spirit of FERC’s regional planning regime is </w:t>
      </w:r>
      <w:r w:rsidR="00AF3AC0">
        <w:t xml:space="preserve">a question </w:t>
      </w:r>
      <w:r w:rsidR="00B26FB9">
        <w:t xml:space="preserve">beyond </w:t>
      </w:r>
      <w:r w:rsidR="00AF3AC0">
        <w:t>this Commission’s</w:t>
      </w:r>
      <w:r w:rsidR="00B26FB9">
        <w:t xml:space="preserve"> jurisdiction </w:t>
      </w:r>
      <w:r w:rsidR="00AF3AC0">
        <w:t>to answer.</w:t>
      </w:r>
      <w:r w:rsidR="00B26FB9">
        <w:t xml:space="preserve"> </w:t>
      </w:r>
      <w:r>
        <w:t xml:space="preserve">As FPL witness McLain correctly testified, the proper forum for such complaints is through FERC. </w:t>
      </w:r>
      <w:r w:rsidR="00D82B6A">
        <w:t>Therefore,</w:t>
      </w:r>
      <w:r w:rsidR="007216AA">
        <w:t xml:space="preserve"> we find that FERC Order No. 1000 is beyond our jurisdiction.</w:t>
      </w:r>
    </w:p>
    <w:p w14:paraId="149EEA79" w14:textId="77777777" w:rsidR="00471213" w:rsidRDefault="00471213" w:rsidP="0022111A">
      <w:pPr>
        <w:jc w:val="both"/>
      </w:pPr>
    </w:p>
    <w:p w14:paraId="4A731369" w14:textId="77777777" w:rsidR="00A460B7" w:rsidRDefault="00A460B7" w:rsidP="00A460B7">
      <w:pPr>
        <w:pStyle w:val="ListParagraph"/>
        <w:numPr>
          <w:ilvl w:val="0"/>
          <w:numId w:val="17"/>
        </w:numPr>
        <w:ind w:left="2160" w:hanging="720"/>
        <w:jc w:val="both"/>
      </w:pPr>
      <w:r>
        <w:t>Relevancy</w:t>
      </w:r>
    </w:p>
    <w:p w14:paraId="3BBC77D0" w14:textId="77777777" w:rsidR="00A460B7" w:rsidRDefault="00A460B7" w:rsidP="00ED3114">
      <w:pPr>
        <w:jc w:val="both"/>
      </w:pPr>
    </w:p>
    <w:p w14:paraId="484D4A24" w14:textId="1B224409" w:rsidR="00ED3114" w:rsidRDefault="007F7C74" w:rsidP="00ED3114">
      <w:pPr>
        <w:jc w:val="both"/>
      </w:pPr>
      <w:r>
        <w:tab/>
      </w:r>
      <w:r w:rsidR="00471213">
        <w:t>W</w:t>
      </w:r>
      <w:r w:rsidR="00274176">
        <w:t xml:space="preserve">e </w:t>
      </w:r>
      <w:r w:rsidR="001C47A0">
        <w:t>also</w:t>
      </w:r>
      <w:r w:rsidR="00274176">
        <w:t xml:space="preserve"> </w:t>
      </w:r>
      <w:r w:rsidR="001C47A0">
        <w:t xml:space="preserve">find FERC Order No. 1000 </w:t>
      </w:r>
      <w:r w:rsidR="00274176">
        <w:t xml:space="preserve">irrelevant to the need determination before us. </w:t>
      </w:r>
      <w:r w:rsidR="00ED3114">
        <w:t>FPL offered testimony and evidence that FERC Order No. 1000 is</w:t>
      </w:r>
      <w:r w:rsidR="00471213">
        <w:t xml:space="preserve"> not “regional” and is</w:t>
      </w:r>
      <w:r w:rsidR="00ED3114">
        <w:t xml:space="preserve"> irrelevant to this proceeding because the AOP benefits only FPL and its customers, was not identified through the FRCC’s most recent Biennial Transmission Planning Process, and seeks to resolve anticipated local </w:t>
      </w:r>
      <w:r w:rsidR="00133DC1">
        <w:t>North American Electric Reliability Corporation (</w:t>
      </w:r>
      <w:r w:rsidR="00ED3114">
        <w:t>NERC</w:t>
      </w:r>
      <w:r w:rsidR="00133DC1">
        <w:t>)</w:t>
      </w:r>
      <w:r w:rsidR="00ED3114">
        <w:t xml:space="preserve"> </w:t>
      </w:r>
      <w:r w:rsidR="002B7A09">
        <w:t>r</w:t>
      </w:r>
      <w:r w:rsidR="00ED3114">
        <w:t xml:space="preserve">eliability </w:t>
      </w:r>
      <w:r w:rsidR="002B7A09">
        <w:t>s</w:t>
      </w:r>
      <w:r w:rsidR="00ED3114">
        <w:t xml:space="preserve">tandards violations. Meanwhile, EDF offered testimony and evidence </w:t>
      </w:r>
      <w:r w:rsidR="006022F5">
        <w:t xml:space="preserve">in support of the assertion </w:t>
      </w:r>
      <w:r w:rsidR="00ED3114">
        <w:t xml:space="preserve">that </w:t>
      </w:r>
      <w:r w:rsidR="00ED3114">
        <w:lastRenderedPageBreak/>
        <w:t>FERC Order No. 1000’s regional planning processes required FPL to evaluate whether a regional solution would meet the energy grid</w:t>
      </w:r>
      <w:r w:rsidR="002F3790">
        <w:t>’</w:t>
      </w:r>
      <w:r w:rsidR="00ED3114">
        <w:t>s needs more efficiently or cost-effectively than the AOP and that FPL failed to do so.</w:t>
      </w:r>
      <w:r w:rsidR="00D51985">
        <w:t xml:space="preserve"> </w:t>
      </w:r>
      <w:r w:rsidR="00F413C4">
        <w:t xml:space="preserve">Finally, </w:t>
      </w:r>
      <w:r w:rsidR="00D51985">
        <w:t xml:space="preserve">OPC argued </w:t>
      </w:r>
      <w:r w:rsidR="00790022">
        <w:t xml:space="preserve">that Rule 25-22.076(3), F.A.C., can be broadly construed </w:t>
      </w:r>
      <w:r w:rsidR="009F25D4">
        <w:t xml:space="preserve">so as to permit </w:t>
      </w:r>
      <w:r w:rsidR="00F23227">
        <w:t>our</w:t>
      </w:r>
      <w:r w:rsidR="009F25D4">
        <w:t xml:space="preserve"> consideration of FERC Order No. 1000.</w:t>
      </w:r>
    </w:p>
    <w:p w14:paraId="58223047" w14:textId="77777777" w:rsidR="00ED3114" w:rsidRDefault="00ED3114" w:rsidP="0078792B">
      <w:pPr>
        <w:jc w:val="both"/>
      </w:pPr>
    </w:p>
    <w:p w14:paraId="32A2EE88" w14:textId="208E4620" w:rsidR="000A6036" w:rsidRDefault="00ED3114" w:rsidP="0078792B">
      <w:pPr>
        <w:jc w:val="both"/>
      </w:pPr>
      <w:r>
        <w:tab/>
      </w:r>
      <w:r w:rsidR="0078792B">
        <w:t xml:space="preserve">Under the regional transmission planning framework </w:t>
      </w:r>
      <w:r w:rsidR="00580B22">
        <w:t>of</w:t>
      </w:r>
      <w:r w:rsidR="0078792B">
        <w:t xml:space="preserve"> FERC Order No. 1000, a project is considered “regional” if it provides benefits to two or more FERC-jurisdictional transmission providers. </w:t>
      </w:r>
      <w:r w:rsidR="00580B22" w:rsidRPr="00580B22">
        <w:rPr>
          <w:i/>
        </w:rPr>
        <w:t>See</w:t>
      </w:r>
      <w:r w:rsidR="00580B22">
        <w:t xml:space="preserve"> FERC Order No. 1000, ¶¶ 63–66</w:t>
      </w:r>
      <w:r w:rsidR="00424922">
        <w:t xml:space="preserve"> (referring to cost-allocation principles in addressing a regional transmission need)</w:t>
      </w:r>
      <w:r w:rsidR="00580B22">
        <w:t xml:space="preserve">. </w:t>
      </w:r>
      <w:r w:rsidR="0078792B">
        <w:t>In this case, there is only one transmission provider</w:t>
      </w:r>
      <w:r w:rsidR="00A650CE">
        <w:t xml:space="preserve"> who benefits</w:t>
      </w:r>
      <w:r w:rsidR="0078792B">
        <w:t xml:space="preserve">—FPL. </w:t>
      </w:r>
      <w:r w:rsidR="000A6036">
        <w:t>Importantly</w:t>
      </w:r>
      <w:r w:rsidR="000A6036" w:rsidRPr="000A6036">
        <w:t xml:space="preserve">, the most recent Biennial Transmission Planning Process conducted by the FRCC did not identify any regional transmission needs within FPL’s service area. This </w:t>
      </w:r>
      <w:r w:rsidR="00066861">
        <w:t xml:space="preserve">fact </w:t>
      </w:r>
      <w:r w:rsidR="00F24D96">
        <w:t xml:space="preserve">alone </w:t>
      </w:r>
      <w:r w:rsidR="000A6036" w:rsidRPr="000A6036">
        <w:t>support</w:t>
      </w:r>
      <w:r w:rsidR="00F24D96">
        <w:t>s</w:t>
      </w:r>
      <w:r w:rsidR="000A6036" w:rsidRPr="000A6036">
        <w:t xml:space="preserve"> the conclusion that the AOP is not a regional project.</w:t>
      </w:r>
    </w:p>
    <w:p w14:paraId="2FA5AFF9" w14:textId="77777777" w:rsidR="00F24D96" w:rsidRDefault="00F24D96" w:rsidP="0078792B">
      <w:pPr>
        <w:jc w:val="both"/>
      </w:pPr>
    </w:p>
    <w:p w14:paraId="025CB1C3" w14:textId="21861756" w:rsidR="0078792B" w:rsidRDefault="00F24D96" w:rsidP="0078792B">
      <w:pPr>
        <w:jc w:val="both"/>
      </w:pPr>
      <w:r>
        <w:tab/>
        <w:t>Nonetheless, w</w:t>
      </w:r>
      <w:r w:rsidR="00ED3114">
        <w:t xml:space="preserve">e are </w:t>
      </w:r>
      <w:r>
        <w:t xml:space="preserve">also </w:t>
      </w:r>
      <w:r w:rsidR="0078792B">
        <w:t>persuaded that the four transmission lines comprising the AOP are a localized solution to an identified local reliability problem, meaning that the AOP only benefits FPL and its customers, not other providers. FPL witness Yanes explained that Miami-Dade County is a load-dense area and is geographically constrained. Located at the southern end of mainland, peninsular Florida, Miami-Dade County is bordered by the Everglades National Park to the west and the Atlantic Ocean to the east. Miami-Dade County’s electrical interconnection is thus limited to northward ties into Broward County, which is also part of FPL’s service territory.</w:t>
      </w:r>
    </w:p>
    <w:p w14:paraId="391C3233" w14:textId="77777777" w:rsidR="0022111A" w:rsidRDefault="0022111A" w:rsidP="0078792B">
      <w:pPr>
        <w:jc w:val="both"/>
      </w:pPr>
    </w:p>
    <w:p w14:paraId="09BE9664" w14:textId="5894EFE0" w:rsidR="00ED3114" w:rsidRDefault="0022111A" w:rsidP="0078792B">
      <w:pPr>
        <w:jc w:val="both"/>
      </w:pPr>
      <w:r>
        <w:tab/>
      </w:r>
      <w:r w:rsidR="0078792B">
        <w:t xml:space="preserve">As testified to by FPL witness Yanes, </w:t>
      </w:r>
      <w:r w:rsidR="0095430B">
        <w:t xml:space="preserve">transforming </w:t>
      </w:r>
      <w:r w:rsidR="0078792B">
        <w:t xml:space="preserve">the AOP into a regional project </w:t>
      </w:r>
      <w:r w:rsidR="0039380B">
        <w:t xml:space="preserve">(assuming FRCC had identified a regional need) </w:t>
      </w:r>
      <w:r w:rsidR="0095430B">
        <w:t xml:space="preserve">could </w:t>
      </w:r>
      <w:r w:rsidR="0039380B">
        <w:t>mean</w:t>
      </w:r>
      <w:r w:rsidR="0078792B">
        <w:t xml:space="preserve"> extending transmission from Miami-Dade County to central or west Florida (i.e., into the service territories of Duke Energy Florida, LLC (DEF) or Tampa Electric Company (TECO)), a distance exceeding 250 miles per line. In such a scenario, “to transfer the magnitude of power needed, such facilities would necessarily be constructed at the 500 kV voltage level, with at least two 500 kV lines required, resulting in a project involving a minimum of approximately 500 miles of new 500 kV transmission,” compared to the approximately 75 miles of line associated with the AOP. However, TECO does not own 500</w:t>
      </w:r>
      <w:r w:rsidR="00DD0637">
        <w:t>-</w:t>
      </w:r>
      <w:r w:rsidR="0078792B">
        <w:t>kV facilities, and DEF’s 500</w:t>
      </w:r>
      <w:r w:rsidR="000E26FB">
        <w:t>-</w:t>
      </w:r>
      <w:r w:rsidR="0078792B">
        <w:t>kV system is much further north</w:t>
      </w:r>
      <w:r w:rsidR="006022F5">
        <w:t>.</w:t>
      </w:r>
      <w:r w:rsidR="0078792B">
        <w:t xml:space="preserve"> FPL witness Yanes conclude</w:t>
      </w:r>
      <w:r w:rsidR="00C746ED">
        <w:t>d</w:t>
      </w:r>
      <w:r w:rsidR="0078792B">
        <w:t xml:space="preserve"> that the “scale, scope, cost, and geographic reach of such regional transmission solutions underscore why the AOP is appropriately planned as a local reliability project rather than a regional tr</w:t>
      </w:r>
      <w:r w:rsidR="00ED3114">
        <w:t>ansmission solution.”</w:t>
      </w:r>
    </w:p>
    <w:p w14:paraId="6F9C25DC" w14:textId="77777777" w:rsidR="00ED3114" w:rsidRDefault="00ED3114" w:rsidP="0078792B">
      <w:pPr>
        <w:jc w:val="both"/>
      </w:pPr>
    </w:p>
    <w:p w14:paraId="54655737" w14:textId="77777777" w:rsidR="00A35D03" w:rsidRDefault="00ED3114" w:rsidP="00543D8C">
      <w:pPr>
        <w:jc w:val="both"/>
      </w:pPr>
      <w:r>
        <w:tab/>
      </w:r>
      <w:r w:rsidR="0078792B">
        <w:t xml:space="preserve">For the foregoing reasons, </w:t>
      </w:r>
      <w:r>
        <w:t xml:space="preserve">we find that </w:t>
      </w:r>
      <w:r w:rsidR="0078792B">
        <w:t xml:space="preserve">FERC Order No. 1000 </w:t>
      </w:r>
      <w:r w:rsidR="00C939B2">
        <w:t xml:space="preserve">is </w:t>
      </w:r>
      <w:r w:rsidR="009C169A">
        <w:t xml:space="preserve">not </w:t>
      </w:r>
      <w:r w:rsidR="0078792B">
        <w:t>relevant to this need determination proceeding</w:t>
      </w:r>
      <w:r w:rsidR="009C169A">
        <w:t>.</w:t>
      </w:r>
    </w:p>
    <w:p w14:paraId="4ECFC135" w14:textId="77777777" w:rsidR="00A35D03" w:rsidRDefault="00A35D03" w:rsidP="009769F6">
      <w:pPr>
        <w:jc w:val="both"/>
      </w:pPr>
    </w:p>
    <w:p w14:paraId="1333DB22" w14:textId="77777777" w:rsidR="009769F6" w:rsidRPr="00B866E4" w:rsidRDefault="009769F6" w:rsidP="009769F6">
      <w:pPr>
        <w:pStyle w:val="ListParagraph"/>
        <w:numPr>
          <w:ilvl w:val="0"/>
          <w:numId w:val="16"/>
        </w:numPr>
        <w:ind w:left="1440" w:hanging="720"/>
        <w:jc w:val="both"/>
        <w:rPr>
          <w:u w:val="single"/>
        </w:rPr>
      </w:pPr>
      <w:r w:rsidRPr="00B866E4">
        <w:rPr>
          <w:u w:val="single"/>
        </w:rPr>
        <w:t>FERC Order Nos. 1920, 1920-A, and 1920-B</w:t>
      </w:r>
    </w:p>
    <w:p w14:paraId="476A68C4" w14:textId="77777777" w:rsidR="009769F6" w:rsidRDefault="009769F6" w:rsidP="00BC34C5">
      <w:pPr>
        <w:pStyle w:val="ListParagraph"/>
        <w:ind w:left="0"/>
        <w:jc w:val="both"/>
      </w:pPr>
    </w:p>
    <w:p w14:paraId="5841F0A2" w14:textId="77777777" w:rsidR="00C707CD" w:rsidRDefault="00C707CD" w:rsidP="00C707CD">
      <w:pPr>
        <w:pStyle w:val="ListParagraph"/>
        <w:numPr>
          <w:ilvl w:val="0"/>
          <w:numId w:val="18"/>
        </w:numPr>
        <w:ind w:left="2160" w:hanging="720"/>
        <w:jc w:val="both"/>
      </w:pPr>
      <w:r>
        <w:t>Jurisdiction</w:t>
      </w:r>
    </w:p>
    <w:p w14:paraId="74B950FD" w14:textId="77777777" w:rsidR="00AD0EF9" w:rsidRDefault="00AD0EF9" w:rsidP="00BC34C5">
      <w:pPr>
        <w:jc w:val="both"/>
      </w:pPr>
    </w:p>
    <w:p w14:paraId="0464E776" w14:textId="60DDC819" w:rsidR="00BC34C5" w:rsidRDefault="00BC34C5" w:rsidP="00BC34C5">
      <w:pPr>
        <w:jc w:val="both"/>
      </w:pPr>
      <w:r>
        <w:tab/>
        <w:t xml:space="preserve">FERC Order Nos. 1920, 1920-A, and 1920-B are the most recent reforms by FERC to regional and, to a lesser extent, interregional transmission planning processes. In accordance with those orders, regional transmission planning must utilize a minimum 20-year planning </w:t>
      </w:r>
      <w:r>
        <w:lastRenderedPageBreak/>
        <w:t>horizon as well as consider alternative transmission technologies and right-sizing.</w:t>
      </w:r>
      <w:r w:rsidR="00825450">
        <w:rPr>
          <w:rStyle w:val="FootnoteReference"/>
        </w:rPr>
        <w:footnoteReference w:id="5"/>
      </w:r>
      <w:r>
        <w:t xml:space="preserve"> While these FERC Orders contemplate a robust regional planning procedure, they do not (in and of themselves) mandate substantive outcomes.</w:t>
      </w:r>
      <w:r w:rsidR="001A4953">
        <w:t xml:space="preserve"> </w:t>
      </w:r>
      <w:r w:rsidR="001A4953" w:rsidRPr="001A4953">
        <w:rPr>
          <w:i/>
        </w:rPr>
        <w:t>See</w:t>
      </w:r>
      <w:r w:rsidR="001A4953">
        <w:t xml:space="preserve"> </w:t>
      </w:r>
      <w:r w:rsidR="001A4953" w:rsidRPr="001A4953">
        <w:rPr>
          <w:i/>
        </w:rPr>
        <w:t>Transource</w:t>
      </w:r>
      <w:r w:rsidR="001A4953">
        <w:t>, 156 F. 4th at 365–66 (noting regional transmission organization officially selected project and later FERC approved project).</w:t>
      </w:r>
      <w:r>
        <w:t xml:space="preserve"> Planning regions are only required to perform the long-term studies. They are not limited to pursuing only those projects that were </w:t>
      </w:r>
      <w:r w:rsidR="00627E1B">
        <w:t>assessed in those studies</w:t>
      </w:r>
      <w:r>
        <w:t>.</w:t>
      </w:r>
    </w:p>
    <w:p w14:paraId="2E103C8F" w14:textId="77777777" w:rsidR="00E97743" w:rsidRDefault="00E97743" w:rsidP="00BC34C5">
      <w:pPr>
        <w:jc w:val="both"/>
      </w:pPr>
    </w:p>
    <w:p w14:paraId="3FF0179C" w14:textId="2675A920" w:rsidR="00E97743" w:rsidRDefault="00E97743" w:rsidP="00BC34C5">
      <w:pPr>
        <w:jc w:val="both"/>
      </w:pPr>
      <w:r>
        <w:tab/>
      </w:r>
      <w:r w:rsidR="00BA6B0F">
        <w:t xml:space="preserve">With regard to these three orders, the parties raise </w:t>
      </w:r>
      <w:r w:rsidR="007B7ED9">
        <w:t xml:space="preserve">jurisdictional arguments that are </w:t>
      </w:r>
      <w:r w:rsidR="00B3385A">
        <w:t xml:space="preserve">substantially similar </w:t>
      </w:r>
      <w:r w:rsidR="007B7ED9">
        <w:t xml:space="preserve">to those discussed in connection with FERC Order No. 1000. </w:t>
      </w:r>
      <w:r w:rsidR="00C0016B">
        <w:t xml:space="preserve">We need not repeat them here. </w:t>
      </w:r>
      <w:r w:rsidR="007B7ED9" w:rsidRPr="00CA531C">
        <w:t xml:space="preserve">As mentioned previously, </w:t>
      </w:r>
      <w:r w:rsidR="007B7ED9">
        <w:t xml:space="preserve">our </w:t>
      </w:r>
      <w:r w:rsidR="007B7ED9" w:rsidRPr="00CA531C">
        <w:t xml:space="preserve">jurisdiction is grounded in state statute. At best, EDF would have </w:t>
      </w:r>
      <w:r w:rsidR="007B7ED9">
        <w:t xml:space="preserve">us </w:t>
      </w:r>
      <w:r w:rsidR="007B7ED9" w:rsidRPr="00CA531C">
        <w:t xml:space="preserve">impose non-existent state planning requirements for alternatives in transmission line need determination proceedings. At worst, EDF would have </w:t>
      </w:r>
      <w:r w:rsidR="007B7ED9">
        <w:t xml:space="preserve">us overstep and </w:t>
      </w:r>
      <w:r w:rsidR="007B7ED9" w:rsidRPr="00CA531C">
        <w:t>preemptively decide the adequacy of regional transmission planning in FERC</w:t>
      </w:r>
      <w:r w:rsidR="007B7ED9">
        <w:t>’s place. Suffice it to say that o</w:t>
      </w:r>
      <w:r w:rsidR="00B3385A">
        <w:t>ur</w:t>
      </w:r>
      <w:r>
        <w:t xml:space="preserve"> rationale expressed in Section I.A.1 of this Order </w:t>
      </w:r>
      <w:r w:rsidR="00B3385A">
        <w:t>(</w:t>
      </w:r>
      <w:r w:rsidR="008B7371">
        <w:t xml:space="preserve">addressing </w:t>
      </w:r>
      <w:r>
        <w:t>why FERC Order No. 1000 is beyond our jurisdiction</w:t>
      </w:r>
      <w:r w:rsidR="00B3385A">
        <w:t>)</w:t>
      </w:r>
      <w:r>
        <w:t xml:space="preserve"> is equally applicable to FERC Order Nos. 1920, 1920-A, and 1920-B. Therefore, we find </w:t>
      </w:r>
      <w:r w:rsidR="00136E58">
        <w:t xml:space="preserve">that </w:t>
      </w:r>
      <w:r>
        <w:t>FERC Order Nos. 1920, 1920-A, and 1920-B are beyond our jurisdiction.</w:t>
      </w:r>
    </w:p>
    <w:p w14:paraId="78C69775" w14:textId="77777777" w:rsidR="002119E0" w:rsidRDefault="002119E0" w:rsidP="00BC34C5">
      <w:pPr>
        <w:jc w:val="both"/>
      </w:pPr>
    </w:p>
    <w:p w14:paraId="75AD50E5" w14:textId="77777777" w:rsidR="00FE6FBD" w:rsidRDefault="00FE6FBD" w:rsidP="00FE6FBD">
      <w:pPr>
        <w:pStyle w:val="ListParagraph"/>
        <w:numPr>
          <w:ilvl w:val="0"/>
          <w:numId w:val="18"/>
        </w:numPr>
        <w:ind w:left="2160" w:hanging="720"/>
        <w:jc w:val="both"/>
      </w:pPr>
      <w:r>
        <w:t>Relevancy</w:t>
      </w:r>
    </w:p>
    <w:p w14:paraId="150568E4" w14:textId="77777777" w:rsidR="00BC34C5" w:rsidRDefault="00BC34C5" w:rsidP="00BC34C5">
      <w:pPr>
        <w:jc w:val="both"/>
      </w:pPr>
    </w:p>
    <w:p w14:paraId="0B95A482" w14:textId="2D607E74" w:rsidR="00BC34C5" w:rsidRDefault="00BC34C5" w:rsidP="00BC34C5">
      <w:pPr>
        <w:jc w:val="both"/>
      </w:pPr>
      <w:r>
        <w:tab/>
      </w:r>
      <w:r w:rsidR="00865A4A">
        <w:t>W</w:t>
      </w:r>
      <w:r w:rsidR="00240A3A">
        <w:t xml:space="preserve">e also find </w:t>
      </w:r>
      <w:r w:rsidR="00865A4A">
        <w:t xml:space="preserve">FERC Order Nos. 1920, 1920-A, and 1920-B </w:t>
      </w:r>
      <w:r w:rsidR="00240A3A">
        <w:t xml:space="preserve">irrelevant to the need determination before us. </w:t>
      </w:r>
      <w:r>
        <w:t xml:space="preserve">By way of background, Florida’s FERC-jurisdictional transmission </w:t>
      </w:r>
      <w:r w:rsidR="00F6143C">
        <w:t>providers</w:t>
      </w:r>
      <w:r>
        <w:t xml:space="preserve"> are required to make compliance filings with FERC pursuant to </w:t>
      </w:r>
      <w:r w:rsidR="008C5378">
        <w:t>those orders</w:t>
      </w:r>
      <w:r>
        <w:t>. FPL, DEF, and TECO jointly moved for an extension of time to implement the orders and complete related compliance filings.</w:t>
      </w:r>
      <w:r w:rsidR="006022F5">
        <w:t xml:space="preserve"> </w:t>
      </w:r>
      <w:r>
        <w:t xml:space="preserve">FERC granted their joint motion and extended the deadline for those compliance filings </w:t>
      </w:r>
      <w:r w:rsidR="00F11464">
        <w:t xml:space="preserve">to June 12, 2026. </w:t>
      </w:r>
      <w:r>
        <w:t>FERC also found that the first Long-Term Regional Transmission Planning Cycle must commence no later than June 12, 2028</w:t>
      </w:r>
      <w:r w:rsidR="006022F5">
        <w:t>.</w:t>
      </w:r>
      <w:r>
        <w:t xml:space="preserve"> FPL, DEF, and TECO selected January 1, 2028 to commence the n</w:t>
      </w:r>
      <w:r w:rsidR="00F11464">
        <w:t xml:space="preserve">ew planning cycle. </w:t>
      </w:r>
      <w:r>
        <w:t xml:space="preserve">Therefore, </w:t>
      </w:r>
      <w:r w:rsidR="008C5378">
        <w:t xml:space="preserve">even assuming arguendo that we have jurisdiction to consider the orders, </w:t>
      </w:r>
      <w:r>
        <w:t xml:space="preserve">the impacts of </w:t>
      </w:r>
      <w:r w:rsidR="008C5378">
        <w:t xml:space="preserve">FERC Order Nos. 1920, 1920-A, and 1920-B </w:t>
      </w:r>
      <w:r>
        <w:t xml:space="preserve">on FPL’s </w:t>
      </w:r>
      <w:r w:rsidR="008C5378">
        <w:t xml:space="preserve">regional </w:t>
      </w:r>
      <w:r>
        <w:t xml:space="preserve">transmission planning are not ripe for </w:t>
      </w:r>
      <w:r w:rsidR="008C5378">
        <w:t xml:space="preserve">our </w:t>
      </w:r>
      <w:r>
        <w:t>review, particularly in light of the extended compliance period FERC authorized.</w:t>
      </w:r>
    </w:p>
    <w:p w14:paraId="5DCE65BD" w14:textId="77777777" w:rsidR="00627E1B" w:rsidRDefault="00627E1B" w:rsidP="00BC34C5">
      <w:pPr>
        <w:jc w:val="both"/>
      </w:pPr>
    </w:p>
    <w:p w14:paraId="2DB3C8BE" w14:textId="2B66DEBA" w:rsidR="00BC34C5" w:rsidRDefault="008C5378" w:rsidP="00D72309">
      <w:pPr>
        <w:jc w:val="both"/>
      </w:pPr>
      <w:r>
        <w:tab/>
      </w:r>
      <w:r w:rsidR="009C738C">
        <w:t xml:space="preserve">While EDF argues that we must consider and give effect to the FERC-approved tariffs and federal transmission regulations, </w:t>
      </w:r>
      <w:r w:rsidR="00BC34C5">
        <w:t xml:space="preserve">FERC Order Nos. 1920, 1920-A, and 1920-B do not expressly freeze or prohibit utilities from seeking to address current reliability needs in the interim </w:t>
      </w:r>
      <w:r w:rsidR="006D3A7A">
        <w:t xml:space="preserve">compliance period </w:t>
      </w:r>
      <w:r w:rsidR="00BC34C5">
        <w:t xml:space="preserve">nor require </w:t>
      </w:r>
      <w:r w:rsidR="006D3A7A">
        <w:t xml:space="preserve">project </w:t>
      </w:r>
      <w:r w:rsidR="00BC34C5">
        <w:t>deferral pending future regi</w:t>
      </w:r>
      <w:r w:rsidR="006D3A7A">
        <w:t xml:space="preserve">onal long-term studies. </w:t>
      </w:r>
      <w:r w:rsidR="00BC34C5">
        <w:t xml:space="preserve">As explained by FPL witness McLain, these three orders “supplement[] existing planning processes by requiring transmission providers to incorporate long-term regional considerations going forward” but do not otherwise “invalidate local or near-term projects developed outside the long-term planning cycle,” like the AOP. In fact, FERC confirmed as much when it declined to require “transmission providers to conduct a regional transmission planning process that simultaneously plans for shorter-term reliability . . . needs . . . through a combined process.” </w:t>
      </w:r>
      <w:r w:rsidR="00BC34C5">
        <w:lastRenderedPageBreak/>
        <w:t xml:space="preserve">FERC Order 1920-A, </w:t>
      </w:r>
      <w:r w:rsidR="00AC7AE5">
        <w:t>¶</w:t>
      </w:r>
      <w:r w:rsidR="00BC34C5">
        <w:t xml:space="preserve"> 214. Instead, FERC “continue[d] to find that local and regional transmission planning processes serve essential and complementary roles.” FERC Order 1920-A, </w:t>
      </w:r>
      <w:r w:rsidR="00AC7AE5">
        <w:t>¶</w:t>
      </w:r>
      <w:r w:rsidR="00BC34C5">
        <w:t xml:space="preserve"> 818.</w:t>
      </w:r>
    </w:p>
    <w:p w14:paraId="6528E641" w14:textId="77777777" w:rsidR="00BC34C5" w:rsidRDefault="00BC34C5" w:rsidP="00D72309">
      <w:pPr>
        <w:jc w:val="both"/>
      </w:pPr>
    </w:p>
    <w:p w14:paraId="6D164585" w14:textId="77777777" w:rsidR="00BC34C5" w:rsidRDefault="00BC34C5" w:rsidP="00D72309">
      <w:pPr>
        <w:jc w:val="both"/>
      </w:pPr>
      <w:r>
        <w:tab/>
        <w:t xml:space="preserve">For the foregoing reasons, </w:t>
      </w:r>
      <w:r w:rsidR="00E178BE">
        <w:t xml:space="preserve">we find that </w:t>
      </w:r>
      <w:r>
        <w:t>FERC Order Nos. 1920, 1920-A, and 1920-B are not relevant to this need determination proceeding.</w:t>
      </w:r>
    </w:p>
    <w:p w14:paraId="0A75ED77" w14:textId="77777777" w:rsidR="00BC34C5" w:rsidRDefault="00BC34C5" w:rsidP="00D72309">
      <w:pPr>
        <w:jc w:val="both"/>
      </w:pPr>
    </w:p>
    <w:p w14:paraId="6923A24E" w14:textId="77777777" w:rsidR="00AD0EF9" w:rsidRPr="00AD0EF9" w:rsidRDefault="00AD0EF9" w:rsidP="00D72309">
      <w:pPr>
        <w:pStyle w:val="ListParagraph"/>
        <w:numPr>
          <w:ilvl w:val="0"/>
          <w:numId w:val="15"/>
        </w:numPr>
        <w:ind w:left="720"/>
        <w:jc w:val="both"/>
        <w:rPr>
          <w:i/>
        </w:rPr>
      </w:pPr>
      <w:r w:rsidRPr="00AD0EF9">
        <w:rPr>
          <w:i/>
        </w:rPr>
        <w:t>Need Determination Criteria</w:t>
      </w:r>
    </w:p>
    <w:p w14:paraId="17166D65" w14:textId="77777777" w:rsidR="00AD0EF9" w:rsidRDefault="00AD0EF9" w:rsidP="00D72309">
      <w:pPr>
        <w:jc w:val="both"/>
      </w:pPr>
    </w:p>
    <w:p w14:paraId="0AA1E16C" w14:textId="31BCE654" w:rsidR="004201E3" w:rsidRDefault="00641AF7" w:rsidP="00D72309">
      <w:pPr>
        <w:jc w:val="both"/>
      </w:pPr>
      <w:r>
        <w:tab/>
      </w:r>
      <w:r w:rsidR="00FF5A66">
        <w:t xml:space="preserve">In determining the need for transmission lines, </w:t>
      </w:r>
      <w:r w:rsidR="001D67F7">
        <w:t xml:space="preserve">Section </w:t>
      </w:r>
      <w:r w:rsidR="00ED2F63">
        <w:t xml:space="preserve">403.537(1)(c), F.S., </w:t>
      </w:r>
      <w:r w:rsidR="00C65D39">
        <w:t>requires us to take into account</w:t>
      </w:r>
      <w:r w:rsidR="001D67F7">
        <w:t xml:space="preserve">: (1) </w:t>
      </w:r>
      <w:r w:rsidR="00ED2F63">
        <w:t>the need for electric system reliability and integrity;</w:t>
      </w:r>
      <w:r w:rsidR="001D67F7">
        <w:t xml:space="preserve"> (2) </w:t>
      </w:r>
      <w:r w:rsidR="00ED2F63">
        <w:t>the need for abundant, low-cost electrical energy to assure the economic well-being of the residents of this state;</w:t>
      </w:r>
      <w:r w:rsidR="001D67F7">
        <w:t xml:space="preserve"> (3) </w:t>
      </w:r>
      <w:r w:rsidR="00ED2F63">
        <w:t>the appropriate starting and ending point of the line; and</w:t>
      </w:r>
      <w:r w:rsidR="001D67F7">
        <w:t xml:space="preserve"> (4) </w:t>
      </w:r>
      <w:r w:rsidR="00ED2F63">
        <w:t>other matters within th</w:t>
      </w:r>
      <w:r w:rsidR="00DE05D1">
        <w:t>is</w:t>
      </w:r>
      <w:r w:rsidR="00ED2F63">
        <w:t xml:space="preserve"> Commission’s jurisdiction deemed releva</w:t>
      </w:r>
      <w:r w:rsidR="001D67F7">
        <w:t xml:space="preserve">nt to the determination of need. </w:t>
      </w:r>
      <w:r>
        <w:t xml:space="preserve">Having found FERC Order Nos. 1000, 1920, 1920-A, and 1920-B outside our jurisdiction and not relevant to the determination of need in this proceeding, we afford such evidence </w:t>
      </w:r>
      <w:r w:rsidR="00AD0EF9" w:rsidRPr="00485D27">
        <w:t>no weight</w:t>
      </w:r>
      <w:r>
        <w:t xml:space="preserve"> </w:t>
      </w:r>
      <w:r w:rsidR="00AD0EF9" w:rsidRPr="00485D27">
        <w:t xml:space="preserve">in </w:t>
      </w:r>
      <w:r>
        <w:t>our disposition of the remaining issues.</w:t>
      </w:r>
    </w:p>
    <w:p w14:paraId="7F51ACD2" w14:textId="77777777" w:rsidR="00641AF7" w:rsidRDefault="00641AF7" w:rsidP="00D72309">
      <w:pPr>
        <w:jc w:val="both"/>
      </w:pPr>
    </w:p>
    <w:p w14:paraId="7B5FE427" w14:textId="77777777" w:rsidR="00C80A13" w:rsidRDefault="00C80A13" w:rsidP="00D72309">
      <w:pPr>
        <w:jc w:val="both"/>
      </w:pPr>
      <w:r>
        <w:tab/>
        <w:t>As discussed more fully below, we approve the four transmission lines of the AOP, finding them needed and finding their starting and ending points to be appropriate.</w:t>
      </w:r>
    </w:p>
    <w:p w14:paraId="28C0B3B7" w14:textId="77777777" w:rsidR="00F54845" w:rsidRDefault="00F54845" w:rsidP="00D72309">
      <w:pPr>
        <w:jc w:val="both"/>
      </w:pPr>
    </w:p>
    <w:p w14:paraId="03BB3D97" w14:textId="77777777" w:rsidR="00AD0EF9" w:rsidRPr="007A069D" w:rsidRDefault="007A069D" w:rsidP="00D72309">
      <w:pPr>
        <w:pStyle w:val="ListParagraph"/>
        <w:numPr>
          <w:ilvl w:val="0"/>
          <w:numId w:val="10"/>
        </w:numPr>
        <w:ind w:left="1440" w:hanging="720"/>
        <w:jc w:val="both"/>
        <w:rPr>
          <w:u w:val="single"/>
        </w:rPr>
      </w:pPr>
      <w:r w:rsidRPr="007A069D">
        <w:rPr>
          <w:u w:val="single"/>
        </w:rPr>
        <w:t>Electric System Reliability and Integrity</w:t>
      </w:r>
    </w:p>
    <w:p w14:paraId="41366F9F" w14:textId="77777777" w:rsidR="00E71EEA" w:rsidRPr="00E71EEA" w:rsidRDefault="00E71EEA" w:rsidP="00D72309">
      <w:pPr>
        <w:pStyle w:val="ListParagraph"/>
        <w:ind w:left="0"/>
        <w:jc w:val="both"/>
        <w:rPr>
          <w:rFonts w:eastAsia="Calibri"/>
        </w:rPr>
      </w:pPr>
    </w:p>
    <w:p w14:paraId="12FA5713" w14:textId="43206F96" w:rsidR="00FF1E62" w:rsidRDefault="00133DC1" w:rsidP="00D72309">
      <w:pPr>
        <w:jc w:val="both"/>
      </w:pPr>
      <w:r>
        <w:tab/>
      </w:r>
      <w:r w:rsidR="0025776C">
        <w:t xml:space="preserve">FPL asserted that additional transmission lines are essential to prevent grid failure as energy consumption in Miami-Dade County rises. With respect to system reliability and integrity, FPL projects that by summer 2033, peak demand in the area will reach approximately 7,200 </w:t>
      </w:r>
      <w:r w:rsidR="001A2D79">
        <w:t>megawatts</w:t>
      </w:r>
      <w:r w:rsidR="0025776C">
        <w:t>, resulting in thermal overloads and low-voltage conditions under several contingency scenarios. The testimony indicates that absent the AOP, the system would violate mandatory NERC reliability standards, creating a risk of load shedding to maintain grid stability. While reliability need is triggered by the summer 2033 peak, the AOP is scheduled for completion in two phases, with the initial 500</w:t>
      </w:r>
      <w:r>
        <w:t>-</w:t>
      </w:r>
      <w:r w:rsidR="0025776C">
        <w:t>kV line placed in service by 2031, which will help mitigate anticipated load issues on critical facilities based on the forecasted load growth.</w:t>
      </w:r>
    </w:p>
    <w:p w14:paraId="7043ED9D" w14:textId="77777777" w:rsidR="00FF1E62" w:rsidRDefault="00FF1E62" w:rsidP="00D72309">
      <w:pPr>
        <w:jc w:val="both"/>
      </w:pPr>
    </w:p>
    <w:p w14:paraId="7CB7C193" w14:textId="7635DF82" w:rsidR="0025776C" w:rsidRDefault="00FF1E62" w:rsidP="00D72309">
      <w:pPr>
        <w:jc w:val="both"/>
      </w:pPr>
      <w:r>
        <w:tab/>
      </w:r>
      <w:r w:rsidR="0025776C">
        <w:t xml:space="preserve">EDF </w:t>
      </w:r>
      <w:r w:rsidR="00E819BD">
        <w:t xml:space="preserve">and OPC </w:t>
      </w:r>
      <w:r w:rsidR="0025776C">
        <w:t>raised concerns about FPL</w:t>
      </w:r>
      <w:r w:rsidR="00133DC1">
        <w:t>’</w:t>
      </w:r>
      <w:r w:rsidR="0025776C">
        <w:t xml:space="preserve">s usage of a </w:t>
      </w:r>
      <w:r w:rsidR="003B7AEA">
        <w:t xml:space="preserve">P80 </w:t>
      </w:r>
      <w:r>
        <w:t xml:space="preserve">load forecast </w:t>
      </w:r>
      <w:r w:rsidR="00590CDE">
        <w:t xml:space="preserve">instead of </w:t>
      </w:r>
      <w:r w:rsidR="003B7AEA">
        <w:t xml:space="preserve">a P50 load forecast </w:t>
      </w:r>
      <w:r w:rsidR="0025776C">
        <w:t>in its transmission study</w:t>
      </w:r>
      <w:r w:rsidR="003B7AEA">
        <w:t xml:space="preserve">. A P80 </w:t>
      </w:r>
      <w:r>
        <w:t xml:space="preserve">load </w:t>
      </w:r>
      <w:r w:rsidR="003B7AEA">
        <w:t xml:space="preserve">forecast is more conservative in that it assumes that the </w:t>
      </w:r>
      <w:r w:rsidR="00BE157F">
        <w:t xml:space="preserve">actual </w:t>
      </w:r>
      <w:r w:rsidR="003B7AEA">
        <w:t xml:space="preserve">load has an 80 percent probability of being below the forecasted value.  </w:t>
      </w:r>
      <w:r w:rsidR="00554AA1">
        <w:t xml:space="preserve">FPL’s </w:t>
      </w:r>
      <w:r w:rsidR="00590CDE">
        <w:t xml:space="preserve">use of the more conservative load forecast </w:t>
      </w:r>
      <w:r w:rsidR="00133DC1">
        <w:t xml:space="preserve">was </w:t>
      </w:r>
      <w:r w:rsidR="0025776C">
        <w:t xml:space="preserve">appropriate </w:t>
      </w:r>
      <w:r w:rsidR="00590CDE">
        <w:t xml:space="preserve">in this proceeding </w:t>
      </w:r>
      <w:r w:rsidR="0025776C">
        <w:t>due to the geographic constraints associated with Miami-Dade County. The primary interconnections are only those towards Broward County in the north and due to the high density in the area the ability to install generation is limited, in addition to fuel havin</w:t>
      </w:r>
      <w:r w:rsidR="00294802">
        <w:t>g similar import issues as the “end of the line.”</w:t>
      </w:r>
    </w:p>
    <w:p w14:paraId="308A0E94" w14:textId="77777777" w:rsidR="00294802" w:rsidRDefault="00294802" w:rsidP="00D72309">
      <w:pPr>
        <w:jc w:val="both"/>
      </w:pPr>
    </w:p>
    <w:p w14:paraId="3B5E0614" w14:textId="0CC0F7D3" w:rsidR="00ED1ED6" w:rsidRDefault="002B7A09" w:rsidP="00D72309">
      <w:pPr>
        <w:jc w:val="both"/>
      </w:pPr>
      <w:r>
        <w:tab/>
      </w:r>
      <w:r w:rsidR="004861B5">
        <w:t xml:space="preserve">Based on the evidence presented, </w:t>
      </w:r>
      <w:r w:rsidR="00297E3A">
        <w:t xml:space="preserve">we </w:t>
      </w:r>
      <w:r w:rsidR="00554AA1">
        <w:t>are persuaded</w:t>
      </w:r>
      <w:r w:rsidR="00297E3A">
        <w:t xml:space="preserve"> </w:t>
      </w:r>
      <w:r w:rsidR="004861B5">
        <w:t xml:space="preserve">that </w:t>
      </w:r>
      <w:r>
        <w:t xml:space="preserve">the AOP is essential to mitigate the load growth of Miami-Dade County and to continue to maintain NERC reliability standards in effect. Without the AOP, there is a significant risk of overloads and potential voltage issues. </w:t>
      </w:r>
      <w:r>
        <w:lastRenderedPageBreak/>
        <w:t xml:space="preserve">Therefore, </w:t>
      </w:r>
      <w:r w:rsidR="00554AA1">
        <w:t xml:space="preserve">we find that </w:t>
      </w:r>
      <w:r w:rsidR="004861B5">
        <w:t xml:space="preserve">each of the four transmission lines of the AOP are </w:t>
      </w:r>
      <w:r w:rsidR="0025776C">
        <w:t xml:space="preserve">needed </w:t>
      </w:r>
      <w:r w:rsidR="00554AA1">
        <w:t xml:space="preserve">to maintain </w:t>
      </w:r>
      <w:r w:rsidR="0025776C">
        <w:t>electric system reliability and integrity</w:t>
      </w:r>
      <w:r w:rsidR="00554AA1">
        <w:t xml:space="preserve"> as well as to resolve the identified NERC reliability standards violations</w:t>
      </w:r>
      <w:r w:rsidR="0025776C">
        <w:t>.</w:t>
      </w:r>
    </w:p>
    <w:p w14:paraId="211BFD97" w14:textId="77777777" w:rsidR="0025776C" w:rsidRDefault="0025776C" w:rsidP="00D72309">
      <w:pPr>
        <w:jc w:val="both"/>
      </w:pPr>
    </w:p>
    <w:p w14:paraId="254B87F6" w14:textId="77777777" w:rsidR="00ED1ED6" w:rsidRPr="009B5784" w:rsidRDefault="009B5784" w:rsidP="00D72309">
      <w:pPr>
        <w:pStyle w:val="ListParagraph"/>
        <w:numPr>
          <w:ilvl w:val="0"/>
          <w:numId w:val="10"/>
        </w:numPr>
        <w:ind w:left="1440" w:hanging="720"/>
        <w:jc w:val="both"/>
        <w:rPr>
          <w:u w:val="single"/>
        </w:rPr>
      </w:pPr>
      <w:r w:rsidRPr="009B5784">
        <w:rPr>
          <w:u w:val="single"/>
        </w:rPr>
        <w:t>Abundant, Low-Cost Electrical Energy</w:t>
      </w:r>
    </w:p>
    <w:p w14:paraId="5DABAD60" w14:textId="77777777" w:rsidR="00ED1ED6" w:rsidRDefault="00ED1ED6" w:rsidP="00D72309">
      <w:pPr>
        <w:jc w:val="both"/>
      </w:pPr>
    </w:p>
    <w:p w14:paraId="61B99949" w14:textId="6F16195B" w:rsidR="00554AA1" w:rsidRDefault="00554AA1" w:rsidP="00D72309">
      <w:pPr>
        <w:jc w:val="both"/>
        <w:rPr>
          <w:rFonts w:eastAsia="Calibri"/>
        </w:rPr>
      </w:pPr>
      <w:r>
        <w:rPr>
          <w:rFonts w:eastAsia="Calibri"/>
        </w:rPr>
        <w:tab/>
      </w:r>
      <w:r w:rsidR="00E947F6" w:rsidRPr="00E947F6">
        <w:rPr>
          <w:rFonts w:eastAsia="Calibri"/>
        </w:rPr>
        <w:t>FPL analyzed two alternatives</w:t>
      </w:r>
      <w:r w:rsidR="00627E1B">
        <w:rPr>
          <w:rFonts w:eastAsia="Calibri"/>
        </w:rPr>
        <w:t xml:space="preserve"> to the AOP. E</w:t>
      </w:r>
      <w:r w:rsidR="00E947F6" w:rsidRPr="00E947F6">
        <w:rPr>
          <w:rFonts w:eastAsia="Calibri"/>
        </w:rPr>
        <w:t xml:space="preserve">ach </w:t>
      </w:r>
      <w:r w:rsidR="00627E1B">
        <w:rPr>
          <w:rFonts w:eastAsia="Calibri"/>
        </w:rPr>
        <w:t xml:space="preserve">is </w:t>
      </w:r>
      <w:r w:rsidR="00E947F6" w:rsidRPr="00E947F6">
        <w:rPr>
          <w:rFonts w:eastAsia="Calibri"/>
        </w:rPr>
        <w:t>capable of addressing the identified reliability need, but both had significantly higher costs when compared to the AOP. Both alternatives used four transmission lines, two 500</w:t>
      </w:r>
      <w:r>
        <w:rPr>
          <w:rFonts w:eastAsia="Calibri"/>
        </w:rPr>
        <w:t>-</w:t>
      </w:r>
      <w:r w:rsidR="00E947F6" w:rsidRPr="00E947F6">
        <w:rPr>
          <w:rFonts w:eastAsia="Calibri"/>
        </w:rPr>
        <w:t>kV and two 230</w:t>
      </w:r>
      <w:r>
        <w:rPr>
          <w:rFonts w:eastAsia="Calibri"/>
        </w:rPr>
        <w:t>-</w:t>
      </w:r>
      <w:r w:rsidR="00E947F6" w:rsidRPr="00E947F6">
        <w:rPr>
          <w:rFonts w:eastAsia="Calibri"/>
        </w:rPr>
        <w:t xml:space="preserve">kV. Alternative I utilized the Conservation substation instead of Andytown as the starting point in Broward County. </w:t>
      </w:r>
      <w:r w:rsidR="00C33EDC">
        <w:rPr>
          <w:rFonts w:eastAsia="Calibri"/>
        </w:rPr>
        <w:t xml:space="preserve">The other three lines were the same as with the AOP. </w:t>
      </w:r>
      <w:r w:rsidR="00E947F6" w:rsidRPr="00E947F6">
        <w:rPr>
          <w:rFonts w:eastAsia="Calibri"/>
        </w:rPr>
        <w:t>Alternative II was similar to the AOP, except one of the 230</w:t>
      </w:r>
      <w:r>
        <w:rPr>
          <w:rFonts w:eastAsia="Calibri"/>
        </w:rPr>
        <w:t>-</w:t>
      </w:r>
      <w:r w:rsidR="00E947F6" w:rsidRPr="00E947F6">
        <w:rPr>
          <w:rFonts w:eastAsia="Calibri"/>
        </w:rPr>
        <w:t xml:space="preserve">kV lines from the planned Oasis substation connected to the Flagami substation instead of the Quarry substation. Specifically, the AOP’s cumulative present value revenue requirement (CPVRR) is approximately $715 million, compared to $874 million </w:t>
      </w:r>
      <w:r>
        <w:rPr>
          <w:rFonts w:eastAsia="Calibri"/>
        </w:rPr>
        <w:t>and</w:t>
      </w:r>
      <w:r w:rsidR="00E947F6" w:rsidRPr="00E947F6">
        <w:rPr>
          <w:rFonts w:eastAsia="Calibri"/>
        </w:rPr>
        <w:t xml:space="preserve"> $923 million for </w:t>
      </w:r>
      <w:r>
        <w:rPr>
          <w:rFonts w:eastAsia="Calibri"/>
        </w:rPr>
        <w:t>Alternatives I and II respectively</w:t>
      </w:r>
      <w:r w:rsidR="00E947F6" w:rsidRPr="00E947F6">
        <w:rPr>
          <w:rFonts w:eastAsia="Calibri"/>
        </w:rPr>
        <w:t>.</w:t>
      </w:r>
    </w:p>
    <w:p w14:paraId="16A7DB34" w14:textId="77777777" w:rsidR="00554AA1" w:rsidRDefault="00554AA1" w:rsidP="00D72309">
      <w:pPr>
        <w:jc w:val="both"/>
        <w:rPr>
          <w:rFonts w:eastAsia="Calibri"/>
        </w:rPr>
      </w:pPr>
    </w:p>
    <w:p w14:paraId="722399DD" w14:textId="37BB13FC" w:rsidR="00E947F6" w:rsidRPr="00E947F6" w:rsidRDefault="00554AA1" w:rsidP="00D72309">
      <w:pPr>
        <w:jc w:val="both"/>
        <w:rPr>
          <w:rFonts w:eastAsia="Calibri"/>
        </w:rPr>
      </w:pPr>
      <w:r>
        <w:rPr>
          <w:rFonts w:eastAsia="Calibri"/>
        </w:rPr>
        <w:tab/>
        <w:t>Although the</w:t>
      </w:r>
      <w:r w:rsidR="00E947F6" w:rsidRPr="00E947F6">
        <w:rPr>
          <w:rFonts w:eastAsia="Calibri"/>
        </w:rPr>
        <w:t xml:space="preserve"> intervenors argued that </w:t>
      </w:r>
      <w:r w:rsidR="005D1BF7">
        <w:rPr>
          <w:rFonts w:eastAsia="Calibri"/>
        </w:rPr>
        <w:t>g</w:t>
      </w:r>
      <w:r w:rsidR="00E947F6" w:rsidRPr="00E947F6">
        <w:rPr>
          <w:rFonts w:eastAsia="Calibri"/>
        </w:rPr>
        <w:t xml:space="preserve">rid </w:t>
      </w:r>
      <w:r w:rsidR="005D1BF7">
        <w:rPr>
          <w:rFonts w:eastAsia="Calibri"/>
        </w:rPr>
        <w:t>e</w:t>
      </w:r>
      <w:r w:rsidR="00E947F6" w:rsidRPr="00E947F6">
        <w:rPr>
          <w:rFonts w:eastAsia="Calibri"/>
        </w:rPr>
        <w:t xml:space="preserve">nhancing </w:t>
      </w:r>
      <w:r w:rsidR="005D1BF7">
        <w:rPr>
          <w:rFonts w:eastAsia="Calibri"/>
        </w:rPr>
        <w:t>t</w:t>
      </w:r>
      <w:r w:rsidR="00E947F6" w:rsidRPr="00E947F6">
        <w:rPr>
          <w:rFonts w:eastAsia="Calibri"/>
        </w:rPr>
        <w:t xml:space="preserve">echnologies and non-wire alternatives could be </w:t>
      </w:r>
      <w:r w:rsidR="00851C2C">
        <w:rPr>
          <w:rFonts w:eastAsia="Calibri"/>
        </w:rPr>
        <w:t>less expensive</w:t>
      </w:r>
      <w:r w:rsidR="00E947F6" w:rsidRPr="00E947F6">
        <w:rPr>
          <w:rFonts w:eastAsia="Calibri"/>
        </w:rPr>
        <w:t xml:space="preserve">, </w:t>
      </w:r>
      <w:r>
        <w:rPr>
          <w:rFonts w:eastAsia="Calibri"/>
        </w:rPr>
        <w:t xml:space="preserve">we are persuaded </w:t>
      </w:r>
      <w:r w:rsidR="00E947F6" w:rsidRPr="00E947F6">
        <w:rPr>
          <w:rFonts w:eastAsia="Calibri"/>
        </w:rPr>
        <w:t xml:space="preserve">that the proposed 500-kV and 230-kV lines provide the necessary high-capacity transfer capability required for long-term grid stability. </w:t>
      </w:r>
      <w:r w:rsidR="007469B1">
        <w:rPr>
          <w:rFonts w:eastAsia="Calibri"/>
        </w:rPr>
        <w:t>Furthermore, w</w:t>
      </w:r>
      <w:r w:rsidR="00E947F6" w:rsidRPr="00E947F6">
        <w:rPr>
          <w:rFonts w:eastAsia="Calibri"/>
        </w:rPr>
        <w:t xml:space="preserve">hile EDF argued that FPL failed to adequately evaluate advanced technologies and possible larger regional solutions that could reduce costs when considered alongside generation changes, the alternatives proposed by EDF either did not fully address cost, need, or would not be available within the required timeframe. For example, FPL explained that advanced power flow control devices would not resolve the identified transmission reliability need and reconductoring would not sufficiently address the voltage and bulk power delivery limitations. </w:t>
      </w:r>
    </w:p>
    <w:p w14:paraId="5AD2B5CF" w14:textId="77777777" w:rsidR="004C5375" w:rsidRDefault="004C5375" w:rsidP="00D72309">
      <w:pPr>
        <w:jc w:val="both"/>
        <w:rPr>
          <w:rFonts w:eastAsia="Calibri"/>
        </w:rPr>
      </w:pPr>
    </w:p>
    <w:p w14:paraId="6095B039" w14:textId="543AA581" w:rsidR="00E947F6" w:rsidRDefault="00554AA1" w:rsidP="00D72309">
      <w:pPr>
        <w:jc w:val="both"/>
        <w:rPr>
          <w:rFonts w:eastAsia="Calibri"/>
        </w:rPr>
      </w:pPr>
      <w:r>
        <w:rPr>
          <w:rFonts w:eastAsia="Calibri"/>
        </w:rPr>
        <w:tab/>
      </w:r>
      <w:r w:rsidR="00E947F6" w:rsidRPr="00E947F6">
        <w:rPr>
          <w:rFonts w:eastAsia="Calibri"/>
        </w:rPr>
        <w:t xml:space="preserve">Of the alternatives presented, </w:t>
      </w:r>
      <w:r w:rsidR="001B1A18">
        <w:rPr>
          <w:rFonts w:eastAsia="Calibri"/>
        </w:rPr>
        <w:t xml:space="preserve">we find that </w:t>
      </w:r>
      <w:r w:rsidR="00E947F6" w:rsidRPr="00E947F6">
        <w:rPr>
          <w:rFonts w:eastAsia="Calibri"/>
        </w:rPr>
        <w:t xml:space="preserve">the AOP is the most cost-effective with </w:t>
      </w:r>
      <w:r w:rsidR="001B1A18">
        <w:rPr>
          <w:rFonts w:eastAsia="Calibri"/>
        </w:rPr>
        <w:t xml:space="preserve">the </w:t>
      </w:r>
      <w:r w:rsidR="00E947F6" w:rsidRPr="00E947F6">
        <w:rPr>
          <w:rFonts w:eastAsia="Calibri"/>
        </w:rPr>
        <w:t>lowest CPVRR</w:t>
      </w:r>
      <w:r w:rsidR="004738D7">
        <w:rPr>
          <w:rFonts w:eastAsia="Calibri"/>
        </w:rPr>
        <w:t xml:space="preserve"> that meets the reliability requirements outlined in Section II.A</w:t>
      </w:r>
      <w:r w:rsidR="00E947F6" w:rsidRPr="00E947F6">
        <w:rPr>
          <w:rFonts w:eastAsia="Calibri"/>
        </w:rPr>
        <w:t xml:space="preserve">. Therefore </w:t>
      </w:r>
      <w:r w:rsidR="00937890">
        <w:rPr>
          <w:rFonts w:eastAsia="Calibri"/>
        </w:rPr>
        <w:t xml:space="preserve">we find </w:t>
      </w:r>
      <w:r w:rsidR="00937890">
        <w:t xml:space="preserve">that each of the four transmission lines of the AOP are needed </w:t>
      </w:r>
      <w:r w:rsidR="00E947F6" w:rsidRPr="00E947F6">
        <w:rPr>
          <w:rFonts w:eastAsia="Calibri"/>
        </w:rPr>
        <w:t>for abundant, low-cost electrical energy to assure the economic well-being of the citizens of the State</w:t>
      </w:r>
      <w:r w:rsidR="00937890">
        <w:rPr>
          <w:rFonts w:eastAsia="Calibri"/>
        </w:rPr>
        <w:t>.</w:t>
      </w:r>
    </w:p>
    <w:p w14:paraId="6996555E" w14:textId="77777777" w:rsidR="00E947F6" w:rsidRDefault="00E947F6" w:rsidP="00B94836">
      <w:pPr>
        <w:jc w:val="both"/>
        <w:rPr>
          <w:rFonts w:eastAsia="Calibri"/>
        </w:rPr>
      </w:pPr>
    </w:p>
    <w:p w14:paraId="46C2D798" w14:textId="77777777" w:rsidR="00ED1ED6" w:rsidRPr="002A4C8A" w:rsidRDefault="002A4C8A" w:rsidP="002A4C8A">
      <w:pPr>
        <w:pStyle w:val="ListParagraph"/>
        <w:numPr>
          <w:ilvl w:val="0"/>
          <w:numId w:val="10"/>
        </w:numPr>
        <w:ind w:left="1440" w:hanging="720"/>
        <w:jc w:val="both"/>
        <w:rPr>
          <w:rFonts w:eastAsia="Calibri"/>
          <w:u w:val="single"/>
        </w:rPr>
      </w:pPr>
      <w:r w:rsidRPr="002A4C8A">
        <w:rPr>
          <w:rFonts w:eastAsia="Calibri"/>
          <w:u w:val="single"/>
        </w:rPr>
        <w:t>Transmission Line</w:t>
      </w:r>
      <w:r w:rsidR="0052627B">
        <w:rPr>
          <w:rFonts w:eastAsia="Calibri"/>
          <w:u w:val="single"/>
        </w:rPr>
        <w:t>s</w:t>
      </w:r>
      <w:r w:rsidRPr="002A4C8A">
        <w:rPr>
          <w:rFonts w:eastAsia="Calibri"/>
          <w:u w:val="single"/>
        </w:rPr>
        <w:t xml:space="preserve"> Starting and Ending Points</w:t>
      </w:r>
    </w:p>
    <w:p w14:paraId="422D3076" w14:textId="77777777" w:rsidR="0074621B" w:rsidRDefault="0074621B" w:rsidP="0074621B">
      <w:pPr>
        <w:jc w:val="both"/>
      </w:pPr>
    </w:p>
    <w:p w14:paraId="61070335" w14:textId="4A9E4886" w:rsidR="00297C94" w:rsidRDefault="00554AA1" w:rsidP="0074621B">
      <w:pPr>
        <w:jc w:val="both"/>
      </w:pPr>
      <w:r>
        <w:tab/>
      </w:r>
      <w:r w:rsidR="0074621B">
        <w:t xml:space="preserve">FPL argued that the proposed starting and ending points at the Andytown, Oasis, Quarry, and Levee substations were selected to resolve predicted overloads and to use existing rights-of-way, such as railroads and highways. </w:t>
      </w:r>
      <w:r w:rsidR="00297C94">
        <w:t xml:space="preserve">The testimony and exhibits of FPL witness Yanes </w:t>
      </w:r>
      <w:r w:rsidR="00F13F8F">
        <w:t xml:space="preserve">demonstrate that the selected starting and ending points are appropriate because they will allow FPL to </w:t>
      </w:r>
      <w:r w:rsidR="00297C94">
        <w:t xml:space="preserve">address identified reliability needs </w:t>
      </w:r>
      <w:r w:rsidR="001E3476">
        <w:t xml:space="preserve">and </w:t>
      </w:r>
      <w:r w:rsidR="00297C94">
        <w:t>resolve NERC reliability standards violations</w:t>
      </w:r>
      <w:r w:rsidR="001E3476">
        <w:t xml:space="preserve"> </w:t>
      </w:r>
      <w:r w:rsidR="00297C94">
        <w:t xml:space="preserve">in the most cost-effective manner. </w:t>
      </w:r>
      <w:r w:rsidR="0074621B">
        <w:t xml:space="preserve">As discussed in </w:t>
      </w:r>
      <w:r w:rsidR="001B1A18">
        <w:t>Section II.B</w:t>
      </w:r>
      <w:r w:rsidR="0074621B">
        <w:t xml:space="preserve">, while alternative configurations were considered, </w:t>
      </w:r>
      <w:r w:rsidR="008F4F52">
        <w:t>those alternatives</w:t>
      </w:r>
      <w:r w:rsidR="0074621B">
        <w:t xml:space="preserve"> were not selected due to higher cost</w:t>
      </w:r>
      <w:r w:rsidR="008F4F52">
        <w:t>s</w:t>
      </w:r>
      <w:r w:rsidR="0074621B">
        <w:t>, greater routing complexit</w:t>
      </w:r>
      <w:r w:rsidR="008F4F52">
        <w:t>ies</w:t>
      </w:r>
      <w:r w:rsidR="0074621B">
        <w:t>, and less favorable system performance.</w:t>
      </w:r>
    </w:p>
    <w:p w14:paraId="04DB6706" w14:textId="77777777" w:rsidR="00297C94" w:rsidRDefault="00297C94" w:rsidP="0074621B">
      <w:pPr>
        <w:jc w:val="both"/>
      </w:pPr>
    </w:p>
    <w:p w14:paraId="5AA8E560" w14:textId="67166AB0" w:rsidR="0074621B" w:rsidRDefault="00297C94" w:rsidP="0074621B">
      <w:pPr>
        <w:jc w:val="both"/>
      </w:pPr>
      <w:r>
        <w:tab/>
      </w:r>
      <w:r w:rsidR="0074621B">
        <w:t xml:space="preserve">EDF did not challenge the proposed starting and ending points other than to say that </w:t>
      </w:r>
      <w:r w:rsidR="001B1A18">
        <w:t>they</w:t>
      </w:r>
      <w:r w:rsidR="0074621B">
        <w:t xml:space="preserve"> did not incorporate regional planning. Similarly, OPC did not dispute the starting and ending points, but </w:t>
      </w:r>
      <w:r w:rsidR="008F4F52">
        <w:t>asserted</w:t>
      </w:r>
      <w:r w:rsidR="0074621B">
        <w:t xml:space="preserve"> that FPL did not provide sufficient transmission studies to establish the need </w:t>
      </w:r>
      <w:r w:rsidR="0074621B">
        <w:lastRenderedPageBreak/>
        <w:t>for the AOP. Despite the concerns raised by EDF and OPC regarding planning and study depth, the fundamental location of the project</w:t>
      </w:r>
      <w:r w:rsidR="008F4F52">
        <w:t>’</w:t>
      </w:r>
      <w:r w:rsidR="0074621B">
        <w:t xml:space="preserve">s terminals remains largely unchallenged in </w:t>
      </w:r>
      <w:r w:rsidR="000D5625">
        <w:t xml:space="preserve">this </w:t>
      </w:r>
      <w:r w:rsidR="0074621B">
        <w:t>proceeding.</w:t>
      </w:r>
    </w:p>
    <w:p w14:paraId="1C746ACB" w14:textId="77777777" w:rsidR="0074621B" w:rsidRDefault="0074621B" w:rsidP="0074621B">
      <w:pPr>
        <w:jc w:val="both"/>
      </w:pPr>
    </w:p>
    <w:p w14:paraId="3931BC32" w14:textId="52A5F2A3" w:rsidR="00ED1ED6" w:rsidRDefault="001B1A18" w:rsidP="0074621B">
      <w:pPr>
        <w:jc w:val="both"/>
      </w:pPr>
      <w:r>
        <w:tab/>
      </w:r>
      <w:r w:rsidR="0074621B">
        <w:t>Therefo</w:t>
      </w:r>
      <w:r w:rsidR="009A3E0D">
        <w:t>re, based on the evidence</w:t>
      </w:r>
      <w:r w:rsidR="0074621B">
        <w:t xml:space="preserve">, </w:t>
      </w:r>
      <w:r w:rsidR="009A3E0D">
        <w:t xml:space="preserve">we find that </w:t>
      </w:r>
      <w:r w:rsidR="0074621B">
        <w:t xml:space="preserve">FPL’s proposed starting and ending points </w:t>
      </w:r>
      <w:r w:rsidR="009A3E0D">
        <w:t xml:space="preserve">for each transmission line </w:t>
      </w:r>
      <w:r w:rsidR="0074621B">
        <w:t>are appropriate</w:t>
      </w:r>
      <w:r w:rsidR="009A3E0D">
        <w:t>.</w:t>
      </w:r>
    </w:p>
    <w:p w14:paraId="5B5F2044" w14:textId="77777777" w:rsidR="0074621B" w:rsidRPr="00CD73E0" w:rsidRDefault="0074621B" w:rsidP="00B94836">
      <w:pPr>
        <w:jc w:val="both"/>
      </w:pPr>
    </w:p>
    <w:p w14:paraId="6B65B2B5" w14:textId="77777777" w:rsidR="00ED1ED6" w:rsidRPr="00F24CEE" w:rsidRDefault="00F24CEE" w:rsidP="00F24CEE">
      <w:pPr>
        <w:pStyle w:val="ListParagraph"/>
        <w:numPr>
          <w:ilvl w:val="0"/>
          <w:numId w:val="10"/>
        </w:numPr>
        <w:ind w:left="1440" w:hanging="720"/>
        <w:jc w:val="both"/>
        <w:rPr>
          <w:u w:val="single"/>
        </w:rPr>
      </w:pPr>
      <w:r w:rsidRPr="00F24CEE">
        <w:rPr>
          <w:u w:val="single"/>
        </w:rPr>
        <w:t>Transmission Lines Approval and Conclusion</w:t>
      </w:r>
    </w:p>
    <w:p w14:paraId="549A24EC" w14:textId="77777777" w:rsidR="00DE10C2" w:rsidRDefault="00DE10C2" w:rsidP="00AF4DF5">
      <w:pPr>
        <w:pStyle w:val="ListParagraph"/>
        <w:ind w:left="0"/>
        <w:jc w:val="both"/>
      </w:pPr>
    </w:p>
    <w:p w14:paraId="388744FB" w14:textId="50C5B6D3" w:rsidR="00AF4DF5" w:rsidRDefault="001B1A18" w:rsidP="00AF4DF5">
      <w:pPr>
        <w:pStyle w:val="ListParagraph"/>
        <w:ind w:left="0"/>
        <w:jc w:val="both"/>
      </w:pPr>
      <w:r>
        <w:tab/>
      </w:r>
      <w:r w:rsidR="003B6D17">
        <w:t>First, a</w:t>
      </w:r>
      <w:r w:rsidR="00AF4DF5">
        <w:t xml:space="preserve">s discussed in </w:t>
      </w:r>
      <w:r>
        <w:t>Section II.A</w:t>
      </w:r>
      <w:r w:rsidR="00AF4DF5">
        <w:t xml:space="preserve">, the AOP is needed to ensure grid reliability and integrity in Miami-Dade County. </w:t>
      </w:r>
      <w:r w:rsidR="003B6D17">
        <w:t>Second, a</w:t>
      </w:r>
      <w:r w:rsidR="00AF4DF5">
        <w:t xml:space="preserve">s discussed in </w:t>
      </w:r>
      <w:r>
        <w:t>Section II.B</w:t>
      </w:r>
      <w:r w:rsidR="00AF4DF5">
        <w:t>, the AOP is also the most cost</w:t>
      </w:r>
      <w:r w:rsidR="00E35205">
        <w:t>-</w:t>
      </w:r>
      <w:r w:rsidR="00AF4DF5">
        <w:t>effective option from available alternative solutions. Last</w:t>
      </w:r>
      <w:r>
        <w:t>ly</w:t>
      </w:r>
      <w:r w:rsidR="00AF4DF5">
        <w:t xml:space="preserve">, as discussed in </w:t>
      </w:r>
      <w:r>
        <w:t>Section II.C</w:t>
      </w:r>
      <w:r w:rsidR="00AF4DF5">
        <w:t xml:space="preserve">, </w:t>
      </w:r>
      <w:r w:rsidR="00BE157F">
        <w:t xml:space="preserve">the </w:t>
      </w:r>
      <w:r w:rsidR="00AF4DF5">
        <w:t xml:space="preserve">evidence supports that the starting and ending points </w:t>
      </w:r>
      <w:r w:rsidR="00C028F9">
        <w:t xml:space="preserve">are appropriate and </w:t>
      </w:r>
      <w:r w:rsidR="00AF4DF5">
        <w:t xml:space="preserve">were selected to resolve the </w:t>
      </w:r>
      <w:r w:rsidR="00F22BB7">
        <w:t xml:space="preserve">identified </w:t>
      </w:r>
      <w:r w:rsidR="00AF4DF5">
        <w:t>reliability and integrity issues.</w:t>
      </w:r>
    </w:p>
    <w:p w14:paraId="7CF5ABD3" w14:textId="77777777" w:rsidR="00516783" w:rsidRDefault="00516783" w:rsidP="00AF4DF5">
      <w:pPr>
        <w:pStyle w:val="ListParagraph"/>
        <w:ind w:left="0"/>
        <w:jc w:val="both"/>
      </w:pPr>
    </w:p>
    <w:p w14:paraId="1921C666" w14:textId="697A53CB" w:rsidR="00493BBA" w:rsidRDefault="00493BBA" w:rsidP="00D72309">
      <w:pPr>
        <w:pStyle w:val="ListParagraph"/>
        <w:ind w:left="0"/>
        <w:jc w:val="both"/>
      </w:pPr>
      <w:r>
        <w:tab/>
        <w:t>For all the reasons discussed above, we grant FPL’s petition for determination of need for the proposed AOP and approve all four transmission lines comprising it.</w:t>
      </w:r>
    </w:p>
    <w:p w14:paraId="5BDFE054" w14:textId="0380CCB8" w:rsidR="00ED1ED6" w:rsidRDefault="00ED1ED6" w:rsidP="00D72309">
      <w:pPr>
        <w:pStyle w:val="ListParagraph"/>
        <w:ind w:left="0"/>
        <w:jc w:val="both"/>
      </w:pPr>
    </w:p>
    <w:p w14:paraId="447E0BF9" w14:textId="77777777" w:rsidR="00156E0F" w:rsidRPr="002B3379" w:rsidRDefault="00156E0F" w:rsidP="00790677">
      <w:pPr>
        <w:ind w:firstLine="720"/>
        <w:jc w:val="both"/>
      </w:pPr>
      <w:r w:rsidRPr="002B3379">
        <w:t>Based on the foregoing, it is</w:t>
      </w:r>
    </w:p>
    <w:p w14:paraId="329E2972" w14:textId="77777777" w:rsidR="00156E0F" w:rsidRPr="002B3379" w:rsidRDefault="00156E0F" w:rsidP="00790677">
      <w:pPr>
        <w:jc w:val="both"/>
      </w:pPr>
    </w:p>
    <w:p w14:paraId="78A8DA05" w14:textId="4B96382D" w:rsidR="00156E0F" w:rsidRPr="002B3379" w:rsidRDefault="005B4DE5" w:rsidP="00790677">
      <w:pPr>
        <w:ind w:firstLine="720"/>
        <w:jc w:val="both"/>
      </w:pPr>
      <w:r>
        <w:t xml:space="preserve">ORDERED </w:t>
      </w:r>
      <w:r w:rsidR="007155AC">
        <w:t xml:space="preserve">by the Florida Public Service Commission </w:t>
      </w:r>
      <w:r>
        <w:t xml:space="preserve">that </w:t>
      </w:r>
      <w:r w:rsidR="00D72309">
        <w:t xml:space="preserve">there is a need for each of the four transmission lines comprising the </w:t>
      </w:r>
      <w:r w:rsidR="00D72309" w:rsidRPr="00E95DF2">
        <w:t>Andytown-Oasis Transmission Lines Project</w:t>
      </w:r>
      <w:r w:rsidR="00D72309">
        <w:t>, when taking into account the need for electric system reliability and integrity.</w:t>
      </w:r>
      <w:r w:rsidR="00087B96">
        <w:t xml:space="preserve"> </w:t>
      </w:r>
      <w:r w:rsidR="00156E0F" w:rsidRPr="002B3379">
        <w:t>It is further</w:t>
      </w:r>
    </w:p>
    <w:p w14:paraId="00C0E955" w14:textId="77777777" w:rsidR="00156E0F" w:rsidRPr="002B3379" w:rsidRDefault="00156E0F" w:rsidP="00790677">
      <w:pPr>
        <w:jc w:val="both"/>
      </w:pPr>
    </w:p>
    <w:p w14:paraId="03C40A92" w14:textId="1B4929F8" w:rsidR="00156E0F" w:rsidRPr="002B3379" w:rsidRDefault="00156E0F" w:rsidP="00790677">
      <w:pPr>
        <w:jc w:val="both"/>
      </w:pPr>
      <w:r w:rsidRPr="002B3379">
        <w:tab/>
        <w:t xml:space="preserve">ORDERED that </w:t>
      </w:r>
      <w:r w:rsidR="00D53E53">
        <w:t xml:space="preserve">there is a need for each of the four transmission lines comprising the </w:t>
      </w:r>
      <w:r w:rsidR="00D53E53" w:rsidRPr="00E95DF2">
        <w:t>Andytown-Oasis Transmission Lines Project</w:t>
      </w:r>
      <w:r w:rsidR="00D53E53">
        <w:t xml:space="preserve">, when taking into account the need for abundant, low cost electrical energy to assure the economic well-being of the residents of the state. </w:t>
      </w:r>
      <w:r w:rsidRPr="002B3379">
        <w:t>It is further</w:t>
      </w:r>
    </w:p>
    <w:p w14:paraId="12D6285C" w14:textId="77777777" w:rsidR="00156E0F" w:rsidRPr="002B3379" w:rsidRDefault="00156E0F" w:rsidP="00790677">
      <w:pPr>
        <w:jc w:val="both"/>
      </w:pPr>
    </w:p>
    <w:p w14:paraId="3CD6FB91" w14:textId="51CDC1A0" w:rsidR="00156E0F" w:rsidRDefault="00156E0F" w:rsidP="00790677">
      <w:pPr>
        <w:jc w:val="both"/>
      </w:pPr>
      <w:r w:rsidRPr="002B3379">
        <w:tab/>
        <w:t xml:space="preserve">ORDERED that </w:t>
      </w:r>
      <w:r w:rsidR="00D53E53">
        <w:t xml:space="preserve">the proposed starting and ending points for each of the four transmission lines comprising the </w:t>
      </w:r>
      <w:r w:rsidR="00D53E53" w:rsidRPr="00E95DF2">
        <w:t>Andytown-Oasis Transmission Lines Project</w:t>
      </w:r>
      <w:r w:rsidR="00D53E53" w:rsidRPr="002B3379">
        <w:t xml:space="preserve"> </w:t>
      </w:r>
      <w:r w:rsidR="00D53E53">
        <w:t xml:space="preserve">are appropriate. </w:t>
      </w:r>
      <w:r w:rsidRPr="002B3379">
        <w:t>It is further</w:t>
      </w:r>
    </w:p>
    <w:p w14:paraId="5D89E653" w14:textId="002497B6" w:rsidR="007155AC" w:rsidRDefault="007155AC" w:rsidP="00790677">
      <w:pPr>
        <w:jc w:val="both"/>
      </w:pPr>
    </w:p>
    <w:p w14:paraId="0292F87E" w14:textId="6254697E" w:rsidR="007155AC" w:rsidRDefault="007155AC" w:rsidP="007155AC">
      <w:pPr>
        <w:ind w:firstLine="720"/>
        <w:jc w:val="both"/>
      </w:pPr>
      <w:r w:rsidRPr="002B3379">
        <w:t xml:space="preserve">ORDERED that </w:t>
      </w:r>
      <w:r>
        <w:t xml:space="preserve">Florida Power &amp; Light Company’s </w:t>
      </w:r>
      <w:r w:rsidRPr="002B3379">
        <w:t>Petition to Determine Need for Electrical Transmission Lines</w:t>
      </w:r>
      <w:r>
        <w:t xml:space="preserve"> is </w:t>
      </w:r>
      <w:r w:rsidR="00776082">
        <w:t>GRANTED</w:t>
      </w:r>
      <w:r>
        <w:t xml:space="preserve"> as set forth herein. It is further</w:t>
      </w:r>
    </w:p>
    <w:p w14:paraId="41C897CF" w14:textId="4CD64E20" w:rsidR="00D53E53" w:rsidRDefault="00D53E53" w:rsidP="00790677">
      <w:pPr>
        <w:jc w:val="both"/>
      </w:pPr>
    </w:p>
    <w:p w14:paraId="56BC7B77" w14:textId="77777777" w:rsidR="00F24CEE" w:rsidRPr="002B3379" w:rsidRDefault="00F24CEE" w:rsidP="00790677">
      <w:pPr>
        <w:jc w:val="both"/>
      </w:pPr>
      <w:r>
        <w:tab/>
        <w:t>ORDERED that this docket shall be closed.</w:t>
      </w:r>
    </w:p>
    <w:p w14:paraId="17D95C6D" w14:textId="77777777" w:rsidR="003A302B" w:rsidRPr="002B3379" w:rsidRDefault="003A302B" w:rsidP="00790677">
      <w:pPr>
        <w:jc w:val="both"/>
      </w:pPr>
    </w:p>
    <w:p w14:paraId="1953996A" w14:textId="7E7D85B1" w:rsidR="003A302B" w:rsidRDefault="003A302B" w:rsidP="003A302B">
      <w:pPr>
        <w:keepNext/>
        <w:keepLines/>
        <w:jc w:val="both"/>
      </w:pPr>
      <w:r w:rsidRPr="002B3379">
        <w:lastRenderedPageBreak/>
        <w:tab/>
        <w:t xml:space="preserve">By ORDER of the Florida Public Service Commission this </w:t>
      </w:r>
      <w:bookmarkStart w:id="4" w:name="replaceDate"/>
      <w:bookmarkEnd w:id="4"/>
      <w:r w:rsidR="0068531E">
        <w:rPr>
          <w:u w:val="single"/>
        </w:rPr>
        <w:t>1st</w:t>
      </w:r>
      <w:r w:rsidR="0068531E">
        <w:t xml:space="preserve"> day of </w:t>
      </w:r>
      <w:r w:rsidR="0068531E">
        <w:rPr>
          <w:u w:val="single"/>
        </w:rPr>
        <w:t>June</w:t>
      </w:r>
      <w:r w:rsidR="0068531E">
        <w:t xml:space="preserve">, </w:t>
      </w:r>
      <w:r w:rsidR="0068531E">
        <w:rPr>
          <w:u w:val="single"/>
        </w:rPr>
        <w:t>2026</w:t>
      </w:r>
      <w:r w:rsidR="0068531E">
        <w:t>.</w:t>
      </w:r>
    </w:p>
    <w:p w14:paraId="307EDAA7" w14:textId="77777777" w:rsidR="0068531E" w:rsidRPr="0068531E" w:rsidRDefault="0068531E" w:rsidP="003A302B">
      <w:pPr>
        <w:keepNext/>
        <w:keepLines/>
        <w:jc w:val="both"/>
      </w:pPr>
    </w:p>
    <w:p w14:paraId="37313D7E" w14:textId="77777777" w:rsidR="003A302B" w:rsidRPr="002B3379" w:rsidRDefault="003A302B" w:rsidP="003A302B">
      <w:pPr>
        <w:keepNext/>
        <w:keepLines/>
        <w:jc w:val="both"/>
      </w:pPr>
    </w:p>
    <w:p w14:paraId="7710D746" w14:textId="77777777" w:rsidR="003A302B" w:rsidRPr="002B3379" w:rsidRDefault="003A302B" w:rsidP="003A302B">
      <w:pPr>
        <w:keepNext/>
        <w:keepLines/>
        <w:jc w:val="both"/>
      </w:pPr>
    </w:p>
    <w:p w14:paraId="5C1F83BA" w14:textId="1D5AA3BE" w:rsidR="003A302B" w:rsidRDefault="003A302B" w:rsidP="003A302B">
      <w:pPr>
        <w:keepNext/>
        <w:keepLines/>
        <w:jc w:val="both"/>
      </w:pPr>
    </w:p>
    <w:p w14:paraId="3948800C" w14:textId="77777777" w:rsidR="0068531E" w:rsidRPr="002B3379" w:rsidRDefault="0068531E" w:rsidP="003A302B">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2B3379" w:rsidRPr="002B3379" w14:paraId="1F645E32" w14:textId="77777777" w:rsidTr="003A302B">
        <w:tc>
          <w:tcPr>
            <w:tcW w:w="720" w:type="dxa"/>
            <w:shd w:val="clear" w:color="auto" w:fill="auto"/>
          </w:tcPr>
          <w:p w14:paraId="400D549B" w14:textId="77777777" w:rsidR="003A302B" w:rsidRPr="002B3379" w:rsidRDefault="003A302B" w:rsidP="003A302B">
            <w:pPr>
              <w:keepNext/>
              <w:keepLines/>
              <w:jc w:val="both"/>
            </w:pPr>
            <w:bookmarkStart w:id="5" w:name="bkmrkSignature" w:colFirst="0" w:colLast="0"/>
          </w:p>
        </w:tc>
        <w:tc>
          <w:tcPr>
            <w:tcW w:w="4320" w:type="dxa"/>
            <w:tcBorders>
              <w:bottom w:val="single" w:sz="4" w:space="0" w:color="auto"/>
            </w:tcBorders>
            <w:shd w:val="clear" w:color="auto" w:fill="auto"/>
          </w:tcPr>
          <w:p w14:paraId="5A739693" w14:textId="79AC3D18" w:rsidR="003A302B" w:rsidRPr="002B3379" w:rsidRDefault="003D3EE1" w:rsidP="003A302B">
            <w:pPr>
              <w:keepNext/>
              <w:keepLines/>
              <w:jc w:val="both"/>
            </w:pPr>
            <w:r>
              <w:t>/s/ Adam J. Teitzman</w:t>
            </w:r>
            <w:bookmarkStart w:id="6" w:name="_GoBack"/>
            <w:bookmarkEnd w:id="6"/>
          </w:p>
        </w:tc>
      </w:tr>
      <w:bookmarkEnd w:id="5"/>
      <w:tr w:rsidR="002B3379" w:rsidRPr="002B3379" w14:paraId="1D8C3B27" w14:textId="77777777" w:rsidTr="003A302B">
        <w:tc>
          <w:tcPr>
            <w:tcW w:w="720" w:type="dxa"/>
            <w:shd w:val="clear" w:color="auto" w:fill="auto"/>
          </w:tcPr>
          <w:p w14:paraId="687E6101" w14:textId="77777777" w:rsidR="003A302B" w:rsidRPr="002B3379" w:rsidRDefault="003A302B" w:rsidP="003A302B">
            <w:pPr>
              <w:keepNext/>
              <w:keepLines/>
              <w:jc w:val="both"/>
            </w:pPr>
          </w:p>
        </w:tc>
        <w:tc>
          <w:tcPr>
            <w:tcW w:w="4320" w:type="dxa"/>
            <w:tcBorders>
              <w:top w:val="single" w:sz="4" w:space="0" w:color="auto"/>
            </w:tcBorders>
            <w:shd w:val="clear" w:color="auto" w:fill="auto"/>
          </w:tcPr>
          <w:p w14:paraId="535C5015" w14:textId="77777777" w:rsidR="003A302B" w:rsidRPr="002B3379" w:rsidRDefault="003A302B" w:rsidP="003A302B">
            <w:pPr>
              <w:keepNext/>
              <w:keepLines/>
              <w:jc w:val="both"/>
            </w:pPr>
            <w:r w:rsidRPr="002B3379">
              <w:t>ADAM TEITZMAN</w:t>
            </w:r>
          </w:p>
          <w:p w14:paraId="177924FA" w14:textId="77777777" w:rsidR="003A302B" w:rsidRPr="002B3379" w:rsidRDefault="003A302B" w:rsidP="003A302B">
            <w:pPr>
              <w:keepNext/>
              <w:keepLines/>
              <w:jc w:val="both"/>
            </w:pPr>
            <w:r w:rsidRPr="002B3379">
              <w:t>Commission Clerk</w:t>
            </w:r>
          </w:p>
        </w:tc>
      </w:tr>
    </w:tbl>
    <w:p w14:paraId="27C600B7" w14:textId="77777777" w:rsidR="003A302B" w:rsidRPr="002B3379" w:rsidRDefault="003A302B" w:rsidP="003A302B">
      <w:pPr>
        <w:pStyle w:val="OrderSigInfo"/>
        <w:keepNext/>
        <w:keepLines/>
      </w:pPr>
      <w:r w:rsidRPr="002B3379">
        <w:t>Florida Public Service Commission</w:t>
      </w:r>
    </w:p>
    <w:p w14:paraId="72163323" w14:textId="77777777" w:rsidR="003A302B" w:rsidRPr="002B3379" w:rsidRDefault="003A302B" w:rsidP="003A302B">
      <w:pPr>
        <w:pStyle w:val="OrderSigInfo"/>
        <w:keepNext/>
        <w:keepLines/>
      </w:pPr>
      <w:r w:rsidRPr="002B3379">
        <w:t>2540 Shumard Oak Boulevard</w:t>
      </w:r>
    </w:p>
    <w:p w14:paraId="58B4AA91" w14:textId="77777777" w:rsidR="003A302B" w:rsidRPr="002B3379" w:rsidRDefault="003A302B" w:rsidP="003A302B">
      <w:pPr>
        <w:pStyle w:val="OrderSigInfo"/>
        <w:keepNext/>
        <w:keepLines/>
      </w:pPr>
      <w:r w:rsidRPr="002B3379">
        <w:t>Tallahassee, Florida 32399</w:t>
      </w:r>
    </w:p>
    <w:p w14:paraId="26006966" w14:textId="77777777" w:rsidR="003A302B" w:rsidRPr="002B3379" w:rsidRDefault="003A302B" w:rsidP="003A302B">
      <w:pPr>
        <w:pStyle w:val="OrderSigInfo"/>
        <w:keepNext/>
        <w:keepLines/>
      </w:pPr>
      <w:r w:rsidRPr="002B3379">
        <w:t>(850) 413</w:t>
      </w:r>
      <w:r w:rsidRPr="002B3379">
        <w:noBreakHyphen/>
        <w:t>6770</w:t>
      </w:r>
    </w:p>
    <w:p w14:paraId="78D83708" w14:textId="77777777" w:rsidR="003A302B" w:rsidRPr="002B3379" w:rsidRDefault="003A302B" w:rsidP="003A302B">
      <w:pPr>
        <w:pStyle w:val="OrderSigInfo"/>
        <w:keepNext/>
        <w:keepLines/>
      </w:pPr>
      <w:r w:rsidRPr="002B3379">
        <w:t>www.floridapsc.com</w:t>
      </w:r>
    </w:p>
    <w:p w14:paraId="19C42AF7" w14:textId="77777777" w:rsidR="003A302B" w:rsidRPr="002B3379" w:rsidRDefault="003A302B" w:rsidP="003A302B">
      <w:pPr>
        <w:pStyle w:val="OrderSigInfo"/>
        <w:keepNext/>
        <w:keepLines/>
      </w:pPr>
    </w:p>
    <w:p w14:paraId="15B0FF5A" w14:textId="77777777" w:rsidR="003A302B" w:rsidRPr="002B3379" w:rsidRDefault="003A302B" w:rsidP="003A302B">
      <w:pPr>
        <w:pStyle w:val="OrderSigInfo"/>
        <w:keepNext/>
        <w:keepLines/>
      </w:pPr>
      <w:r w:rsidRPr="002B3379">
        <w:t>Copies furnished: A copy of this document is provided to the parties of record at the time of issuance and, if applicable, interested persons.</w:t>
      </w:r>
    </w:p>
    <w:p w14:paraId="4240ED52" w14:textId="77777777" w:rsidR="003A302B" w:rsidRPr="002B3379" w:rsidRDefault="003A302B" w:rsidP="003A302B">
      <w:pPr>
        <w:pStyle w:val="OrderBody"/>
        <w:keepNext/>
        <w:keepLines/>
      </w:pPr>
    </w:p>
    <w:p w14:paraId="4FDD4385" w14:textId="77777777" w:rsidR="003A302B" w:rsidRPr="002B3379" w:rsidRDefault="003A302B" w:rsidP="003A302B">
      <w:pPr>
        <w:keepNext/>
        <w:keepLines/>
        <w:jc w:val="both"/>
      </w:pPr>
    </w:p>
    <w:p w14:paraId="76743242" w14:textId="77777777" w:rsidR="003A302B" w:rsidRPr="002B3379" w:rsidRDefault="003A302B" w:rsidP="003A302B">
      <w:pPr>
        <w:keepNext/>
        <w:keepLines/>
        <w:jc w:val="both"/>
      </w:pPr>
      <w:r w:rsidRPr="002B3379">
        <w:t>CMM</w:t>
      </w:r>
    </w:p>
    <w:p w14:paraId="3972F0BB" w14:textId="77777777" w:rsidR="0068531E" w:rsidRDefault="0068531E" w:rsidP="0068531E">
      <w:pPr>
        <w:pStyle w:val="CenterUnderline"/>
      </w:pPr>
    </w:p>
    <w:p w14:paraId="023E304D" w14:textId="77777777" w:rsidR="0068531E" w:rsidRDefault="0068531E" w:rsidP="0068531E">
      <w:pPr>
        <w:pStyle w:val="CenterUnderline"/>
      </w:pPr>
    </w:p>
    <w:p w14:paraId="3B6FD2E6" w14:textId="3384A1C1" w:rsidR="0068531E" w:rsidRPr="002B3379" w:rsidRDefault="0068531E" w:rsidP="0068531E">
      <w:pPr>
        <w:pStyle w:val="CenterUnderline"/>
      </w:pPr>
      <w:r w:rsidRPr="002B3379">
        <w:t>NOTICE OF FURTHER PROCEEDINGS OR JUDICIAL REVIEW</w:t>
      </w:r>
    </w:p>
    <w:p w14:paraId="4BFA98B2" w14:textId="77777777" w:rsidR="0068531E" w:rsidRPr="002B3379" w:rsidRDefault="0068531E" w:rsidP="0068531E">
      <w:pPr>
        <w:pStyle w:val="CenterUnderline"/>
      </w:pPr>
    </w:p>
    <w:p w14:paraId="67C0C804" w14:textId="77777777" w:rsidR="0068531E" w:rsidRPr="002B3379" w:rsidRDefault="0068531E" w:rsidP="0068531E">
      <w:pPr>
        <w:pStyle w:val="OrderBody"/>
      </w:pPr>
      <w:r w:rsidRPr="002B3379">
        <w:tab/>
        <w:t xml:space="preserve">The Florida Public Service Commission </w:t>
      </w:r>
      <w:r>
        <w:t xml:space="preserve">(Commission) </w:t>
      </w:r>
      <w:r w:rsidRPr="002B3379">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69C63C1C" w14:textId="77777777" w:rsidR="0068531E" w:rsidRPr="002B3379" w:rsidRDefault="0068531E" w:rsidP="0068531E">
      <w:pPr>
        <w:pStyle w:val="OrderBody"/>
      </w:pPr>
    </w:p>
    <w:p w14:paraId="1709A570" w14:textId="363ECF53" w:rsidR="003A302B" w:rsidRPr="002B3379" w:rsidRDefault="0068531E" w:rsidP="003A302B">
      <w:pPr>
        <w:pStyle w:val="OrderBody"/>
      </w:pPr>
      <w:r w:rsidRPr="002B3379">
        <w:tab/>
        <w:t>Any party adver</w:t>
      </w:r>
      <w:r>
        <w:t>sely affected by the Commission’</w:t>
      </w:r>
      <w:r w:rsidRPr="002B3379">
        <w:t>s final action in this matter may request: 1) reconsideration of the decision by filing a motion for reconsideration with the Office of Commission Clerk, 2540 Shumard Oak Boulevard, Tallahas</w:t>
      </w:r>
      <w:r>
        <w:t xml:space="preserve">see, Florida 32399-0850, within five </w:t>
      </w:r>
      <w:r w:rsidRPr="002B3379">
        <w:t xml:space="preserve">(5) days of the issuance of this order </w:t>
      </w:r>
      <w:r>
        <w:t xml:space="preserve">in accordance with Rule 25-22.075(1), Florida Administrative Code, and </w:t>
      </w:r>
      <w:r w:rsidRPr="002B3379">
        <w:t>in the form prescribed by Rule 25-22.060, Florida Administrative Code; or 2) judicial review by the Florida Supreme Court in the case of an electric, gas</w:t>
      </w:r>
      <w:r>
        <w:t>,</w:t>
      </w:r>
      <w:r w:rsidRPr="002B3379">
        <w:t xml:space="preserve"> or telephone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681C787A" w14:textId="77777777" w:rsidR="00156E0F" w:rsidRPr="002B3379" w:rsidRDefault="00156E0F" w:rsidP="00156E0F"/>
    <w:p w14:paraId="2746C267" w14:textId="77777777" w:rsidR="00513EC1" w:rsidRPr="002B3379" w:rsidRDefault="00513EC1" w:rsidP="00156E0F">
      <w:pPr>
        <w:pStyle w:val="CenterUnderline"/>
      </w:pPr>
    </w:p>
    <w:sectPr w:rsidR="00513EC1" w:rsidRPr="002B3379">
      <w:head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28C3B" w14:textId="77777777" w:rsidR="00E41FF0" w:rsidRDefault="00E41FF0">
      <w:r>
        <w:separator/>
      </w:r>
    </w:p>
  </w:endnote>
  <w:endnote w:type="continuationSeparator" w:id="0">
    <w:p w14:paraId="6B05B090" w14:textId="77777777" w:rsidR="00E41FF0" w:rsidRDefault="00E41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D7139" w14:textId="77777777" w:rsidR="00D53E53" w:rsidRDefault="00D53E53">
    <w:pPr>
      <w:pStyle w:val="Footer"/>
    </w:pPr>
  </w:p>
  <w:p w14:paraId="092D481D" w14:textId="77777777" w:rsidR="00D53E53" w:rsidRDefault="00D53E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C4066" w14:textId="77777777" w:rsidR="00E41FF0" w:rsidRDefault="00E41FF0">
      <w:r>
        <w:separator/>
      </w:r>
    </w:p>
  </w:footnote>
  <w:footnote w:type="continuationSeparator" w:id="0">
    <w:p w14:paraId="47D0CEA8" w14:textId="77777777" w:rsidR="00E41FF0" w:rsidRDefault="00E41FF0">
      <w:r>
        <w:continuationSeparator/>
      </w:r>
    </w:p>
  </w:footnote>
  <w:footnote w:id="1">
    <w:p w14:paraId="1CF9E9C1" w14:textId="3480EA85" w:rsidR="00EF6AC4" w:rsidRDefault="00EF6AC4">
      <w:pPr>
        <w:pStyle w:val="FootnoteText"/>
      </w:pPr>
      <w:r>
        <w:rPr>
          <w:rStyle w:val="FootnoteReference"/>
        </w:rPr>
        <w:footnoteRef/>
      </w:r>
      <w:r>
        <w:t xml:space="preserve"> </w:t>
      </w:r>
      <w:r w:rsidR="00304755">
        <w:t>Section 403.507(4)(b)</w:t>
      </w:r>
      <w:r w:rsidR="0016704D">
        <w:t>, F.S.</w:t>
      </w:r>
      <w:r w:rsidR="009B5A00">
        <w:t xml:space="preserve"> (</w:t>
      </w:r>
      <w:r w:rsidR="00E13127">
        <w:t xml:space="preserve">siting of </w:t>
      </w:r>
      <w:r w:rsidR="009B5A00">
        <w:t>electrical power plants)</w:t>
      </w:r>
      <w:r w:rsidR="00304755">
        <w:t xml:space="preserve">; </w:t>
      </w:r>
      <w:r w:rsidR="0016704D">
        <w:t xml:space="preserve">Section </w:t>
      </w:r>
      <w:r w:rsidR="00304755">
        <w:t>403.537(1)(d)</w:t>
      </w:r>
      <w:r w:rsidR="0016704D">
        <w:t>, F.S.</w:t>
      </w:r>
      <w:r w:rsidR="009B5A00">
        <w:t xml:space="preserve"> (</w:t>
      </w:r>
      <w:r w:rsidR="00B16F21">
        <w:t xml:space="preserve">siting of </w:t>
      </w:r>
      <w:r w:rsidR="00D60B38">
        <w:t xml:space="preserve">electric </w:t>
      </w:r>
      <w:r w:rsidR="009B5A00">
        <w:t>transmission lines)</w:t>
      </w:r>
      <w:r w:rsidR="00304755">
        <w:t xml:space="preserve">; </w:t>
      </w:r>
      <w:r w:rsidR="0016704D">
        <w:t xml:space="preserve">Section </w:t>
      </w:r>
      <w:r w:rsidR="00304755">
        <w:t>403.9422(1)(c), F.S.</w:t>
      </w:r>
      <w:r w:rsidR="009B5A00">
        <w:t xml:space="preserve"> (</w:t>
      </w:r>
      <w:r w:rsidR="00B201E3">
        <w:t xml:space="preserve">siting of </w:t>
      </w:r>
      <w:r w:rsidR="009B5A00">
        <w:t xml:space="preserve">natural gas </w:t>
      </w:r>
      <w:r w:rsidR="00D60B38">
        <w:t xml:space="preserve">transmission </w:t>
      </w:r>
      <w:r w:rsidR="009B5A00">
        <w:t>pipelines).</w:t>
      </w:r>
    </w:p>
  </w:footnote>
  <w:footnote w:id="2">
    <w:p w14:paraId="6AFEC2A8" w14:textId="5456305E" w:rsidR="00F86C2F" w:rsidRDefault="00F86C2F">
      <w:pPr>
        <w:pStyle w:val="FootnoteText"/>
      </w:pPr>
      <w:r>
        <w:rPr>
          <w:rStyle w:val="FootnoteReference"/>
        </w:rPr>
        <w:footnoteRef/>
      </w:r>
      <w:r>
        <w:t xml:space="preserve"> </w:t>
      </w:r>
      <w:r w:rsidRPr="00EE496F">
        <w:rPr>
          <w:i/>
        </w:rPr>
        <w:t>See e.g.</w:t>
      </w:r>
      <w:r>
        <w:t xml:space="preserve">, Order No. PSC-2018-0263-FOF-EC, issued May 25, 2018, in Docket No. 20170267-EC, </w:t>
      </w:r>
      <w:r w:rsidRPr="00531973">
        <w:rPr>
          <w:i/>
        </w:rPr>
        <w:t>In re: Joint petition for determination of need for Shady Hills combined cycle facility in Pasco County, by Seminole Electric Cooperative, Inc. and Shady Hills Energy Cent</w:t>
      </w:r>
      <w:r w:rsidRPr="00CE6C99">
        <w:rPr>
          <w:i/>
        </w:rPr>
        <w:t>er, LLC</w:t>
      </w:r>
      <w:r>
        <w:t xml:space="preserve">, p. 28; </w:t>
      </w:r>
      <w:r w:rsidRPr="00EE496F">
        <w:t xml:space="preserve">Order No. PSC-2018-0150-FOF-EI, issued March 19, 2018, </w:t>
      </w:r>
      <w:r>
        <w:t xml:space="preserve">in Docket No. 20170225-EI, </w:t>
      </w:r>
      <w:r w:rsidRPr="00EE496F">
        <w:rPr>
          <w:i/>
          <w:iCs/>
        </w:rPr>
        <w:t>In re: Petition for determination of need for Dania Beach Clean Energy Center Unit 7, by Florida Power &amp; Light Company</w:t>
      </w:r>
      <w:r>
        <w:rPr>
          <w:iCs/>
        </w:rPr>
        <w:t>, p. 14</w:t>
      </w:r>
      <w:r w:rsidRPr="00EE496F">
        <w:t xml:space="preserve">; </w:t>
      </w:r>
      <w:r>
        <w:t xml:space="preserve">Order No. PSC-14-0557-FOF-EI, issued October 10, 2014, in Docket No. 140110-EI, </w:t>
      </w:r>
      <w:r w:rsidRPr="005359AE">
        <w:rPr>
          <w:i/>
        </w:rPr>
        <w:t>In re: Petition for determination of need for Citrus County Combined Cycle Power Plant, by Duke Energy Florida, Inc.</w:t>
      </w:r>
      <w:r>
        <w:t>, pp. 6, 18.</w:t>
      </w:r>
    </w:p>
  </w:footnote>
  <w:footnote w:id="3">
    <w:p w14:paraId="34EB343C" w14:textId="17EB1DE6" w:rsidR="00523B7D" w:rsidRDefault="00523B7D">
      <w:pPr>
        <w:pStyle w:val="FootnoteText"/>
      </w:pPr>
      <w:r>
        <w:rPr>
          <w:rStyle w:val="FootnoteReference"/>
        </w:rPr>
        <w:footnoteRef/>
      </w:r>
      <w:r>
        <w:t xml:space="preserve"> Section 403.522(22), F.S.</w:t>
      </w:r>
    </w:p>
  </w:footnote>
  <w:footnote w:id="4">
    <w:p w14:paraId="6D46C1E2" w14:textId="67A71834" w:rsidR="00523B7D" w:rsidRDefault="00523B7D">
      <w:pPr>
        <w:pStyle w:val="FootnoteText"/>
      </w:pPr>
      <w:r>
        <w:rPr>
          <w:rStyle w:val="FootnoteReference"/>
        </w:rPr>
        <w:footnoteRef/>
      </w:r>
      <w:r>
        <w:t xml:space="preserve"> Section 403.522(12), F.S.</w:t>
      </w:r>
    </w:p>
  </w:footnote>
  <w:footnote w:id="5">
    <w:p w14:paraId="0B509335" w14:textId="77777777" w:rsidR="00D53E53" w:rsidRDefault="00D53E53">
      <w:pPr>
        <w:pStyle w:val="FootnoteText"/>
      </w:pPr>
      <w:r>
        <w:rPr>
          <w:rStyle w:val="FootnoteReference"/>
        </w:rPr>
        <w:footnoteRef/>
      </w:r>
      <w:r>
        <w:t xml:space="preserve"> “Right-sizing” is defined as “the process of modifying a transmission provider’s in-kind </w:t>
      </w:r>
      <w:r w:rsidRPr="00825450">
        <w:rPr>
          <w:i/>
        </w:rPr>
        <w:t>replacement</w:t>
      </w:r>
      <w:r>
        <w:t xml:space="preserve"> of an </w:t>
      </w:r>
      <w:r w:rsidRPr="00825450">
        <w:rPr>
          <w:i/>
        </w:rPr>
        <w:t>existing</w:t>
      </w:r>
      <w:r>
        <w:t xml:space="preserve"> transmission facility to increase that facility’s transfer capability.” FERC Order 1920, ¶ 1678 (emphasis added).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72600" w14:textId="3EF44FF7" w:rsidR="00D53E53" w:rsidRDefault="00D53E53">
    <w:pPr>
      <w:pStyle w:val="OrderHeader"/>
    </w:pPr>
    <w:r>
      <w:t xml:space="preserve">ORDER NO. </w:t>
    </w:r>
    <w:fldSimple w:instr=" REF OrderNo0179 ">
      <w:r w:rsidR="003D3EE1">
        <w:t>PSC-2026-0179-FOF-EI</w:t>
      </w:r>
    </w:fldSimple>
  </w:p>
  <w:p w14:paraId="6E39AE5B" w14:textId="77777777" w:rsidR="00D53E53" w:rsidRDefault="00D53E53">
    <w:pPr>
      <w:pStyle w:val="OrderHeader"/>
    </w:pPr>
    <w:bookmarkStart w:id="7" w:name="HeaderDocketNo"/>
    <w:bookmarkEnd w:id="7"/>
    <w:r>
      <w:t>DOCKET NO. 20260020-EI</w:t>
    </w:r>
  </w:p>
  <w:p w14:paraId="35E2C987" w14:textId="1E5CB7B9" w:rsidR="00D53E53" w:rsidRDefault="00D53E53">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3D3EE1">
      <w:rPr>
        <w:rStyle w:val="PageNumber"/>
        <w:noProof/>
      </w:rPr>
      <w:t>11</w:t>
    </w:r>
    <w:r>
      <w:rPr>
        <w:rStyle w:val="PageNumber"/>
      </w:rPr>
      <w:fldChar w:fldCharType="end"/>
    </w:r>
  </w:p>
  <w:p w14:paraId="585A0C3E" w14:textId="77777777" w:rsidR="00D53E53" w:rsidRDefault="00D53E53">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0BDC"/>
    <w:multiLevelType w:val="hybridMultilevel"/>
    <w:tmpl w:val="958EFE72"/>
    <w:lvl w:ilvl="0" w:tplc="E8C2DD56">
      <w:start w:val="1"/>
      <w:numFmt w:val="upperLetter"/>
      <w:lvlText w:val="(%1)"/>
      <w:lvlJc w:val="left"/>
      <w:pPr>
        <w:ind w:left="1800" w:hanging="360"/>
      </w:pPr>
      <w:rPr>
        <w:rFonts w:hint="default"/>
        <w:b/>
        <w:bCs w:val="0"/>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 w15:restartNumberingAfterBreak="0">
    <w:nsid w:val="12E17F4A"/>
    <w:multiLevelType w:val="hybridMultilevel"/>
    <w:tmpl w:val="AE06A0B0"/>
    <w:lvl w:ilvl="0" w:tplc="D308858C">
      <w:start w:val="1"/>
      <w:numFmt w:val="upperLetter"/>
      <w:lvlText w:val="(%1)"/>
      <w:lvlJc w:val="left"/>
      <w:pPr>
        <w:ind w:left="720" w:hanging="360"/>
      </w:pPr>
      <w:rPr>
        <w:rFonts w:hint="default"/>
        <w:b/>
        <w:bCs w:val="0"/>
      </w:rPr>
    </w:lvl>
    <w:lvl w:ilvl="1" w:tplc="4D9A9858">
      <w:start w:val="1"/>
      <w:numFmt w:val="upperLetter"/>
      <w:lvlText w:val="(%2)"/>
      <w:lvlJc w:val="left"/>
      <w:pPr>
        <w:ind w:left="1440" w:hanging="360"/>
      </w:pPr>
      <w:rPr>
        <w:rFonts w:hint="default"/>
        <w:b/>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87A41"/>
    <w:multiLevelType w:val="hybridMultilevel"/>
    <w:tmpl w:val="0AEA1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97170"/>
    <w:multiLevelType w:val="hybridMultilevel"/>
    <w:tmpl w:val="7E888F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86720B"/>
    <w:multiLevelType w:val="hybridMultilevel"/>
    <w:tmpl w:val="BF2A4C68"/>
    <w:lvl w:ilvl="0" w:tplc="D308858C">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4373976"/>
    <w:multiLevelType w:val="hybridMultilevel"/>
    <w:tmpl w:val="8698EED8"/>
    <w:lvl w:ilvl="0" w:tplc="5358CC38">
      <w:start w:val="1"/>
      <w:numFmt w:val="upperLetter"/>
      <w:lvlText w:val="(%1)"/>
      <w:lvlJc w:val="left"/>
      <w:pPr>
        <w:ind w:left="1800" w:hanging="360"/>
      </w:pPr>
      <w:rPr>
        <w:rFonts w:hint="default"/>
        <w:b/>
        <w:bCs/>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6" w15:restartNumberingAfterBreak="0">
    <w:nsid w:val="49AF03E7"/>
    <w:multiLevelType w:val="hybridMultilevel"/>
    <w:tmpl w:val="CB90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85119B"/>
    <w:multiLevelType w:val="hybridMultilevel"/>
    <w:tmpl w:val="7BC4A7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7580305"/>
    <w:multiLevelType w:val="hybridMultilevel"/>
    <w:tmpl w:val="6DC0D8B2"/>
    <w:lvl w:ilvl="0" w:tplc="AAFE715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0524D7"/>
    <w:multiLevelType w:val="hybridMultilevel"/>
    <w:tmpl w:val="E42ADACC"/>
    <w:lvl w:ilvl="0" w:tplc="4D9A9858">
      <w:start w:val="1"/>
      <w:numFmt w:val="upperLetter"/>
      <w:lvlText w:val="(%1)"/>
      <w:lvlJc w:val="left"/>
      <w:pPr>
        <w:ind w:left="1800" w:hanging="360"/>
      </w:pPr>
      <w:rPr>
        <w:b/>
        <w:b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15:restartNumberingAfterBreak="0">
    <w:nsid w:val="61BF39A9"/>
    <w:multiLevelType w:val="hybridMultilevel"/>
    <w:tmpl w:val="702A6544"/>
    <w:lvl w:ilvl="0" w:tplc="A51CC0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781061"/>
    <w:multiLevelType w:val="hybridMultilevel"/>
    <w:tmpl w:val="DC52E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F4406E"/>
    <w:multiLevelType w:val="hybridMultilevel"/>
    <w:tmpl w:val="48CABAE4"/>
    <w:lvl w:ilvl="0" w:tplc="6E08AC9C">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312F9D"/>
    <w:multiLevelType w:val="hybridMultilevel"/>
    <w:tmpl w:val="9950F9D4"/>
    <w:lvl w:ilvl="0" w:tplc="F5DCA76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9C090F"/>
    <w:multiLevelType w:val="hybridMultilevel"/>
    <w:tmpl w:val="46406FFA"/>
    <w:lvl w:ilvl="0" w:tplc="4D9A9858">
      <w:start w:val="1"/>
      <w:numFmt w:val="upperLetter"/>
      <w:lvlText w:val="(%1)"/>
      <w:lvlJc w:val="left"/>
      <w:pPr>
        <w:ind w:left="216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2701005"/>
    <w:multiLevelType w:val="hybridMultilevel"/>
    <w:tmpl w:val="AFBEBD4E"/>
    <w:lvl w:ilvl="0" w:tplc="F5DCA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2A5631"/>
    <w:multiLevelType w:val="hybridMultilevel"/>
    <w:tmpl w:val="C548EA92"/>
    <w:lvl w:ilvl="0" w:tplc="A01CDE6E">
      <w:start w:val="1"/>
      <w:numFmt w:val="upperLetter"/>
      <w:lvlText w:val="(%1)"/>
      <w:lvlJc w:val="left"/>
      <w:pPr>
        <w:ind w:left="1800" w:hanging="360"/>
      </w:pPr>
      <w:rPr>
        <w:rFonts w:hint="default"/>
        <w:b/>
        <w:bCs w:val="0"/>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7" w15:restartNumberingAfterBreak="0">
    <w:nsid w:val="79A449F8"/>
    <w:multiLevelType w:val="hybridMultilevel"/>
    <w:tmpl w:val="34C86218"/>
    <w:lvl w:ilvl="0" w:tplc="A6301F04">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FF0DC5"/>
    <w:multiLevelType w:val="hybridMultilevel"/>
    <w:tmpl w:val="D68688C0"/>
    <w:lvl w:ilvl="0" w:tplc="D308858C">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6B041A"/>
    <w:multiLevelType w:val="hybridMultilevel"/>
    <w:tmpl w:val="EF7880AC"/>
    <w:lvl w:ilvl="0" w:tplc="4D9A9858">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1"/>
  </w:num>
  <w:num w:numId="3">
    <w:abstractNumId w:val="7"/>
  </w:num>
  <w:num w:numId="4">
    <w:abstractNumId w:val="9"/>
  </w:num>
  <w:num w:numId="5">
    <w:abstractNumId w:val="0"/>
  </w:num>
  <w:num w:numId="6">
    <w:abstractNumId w:val="19"/>
  </w:num>
  <w:num w:numId="7">
    <w:abstractNumId w:val="5"/>
  </w:num>
  <w:num w:numId="8">
    <w:abstractNumId w:val="16"/>
  </w:num>
  <w:num w:numId="9">
    <w:abstractNumId w:val="8"/>
  </w:num>
  <w:num w:numId="10">
    <w:abstractNumId w:val="12"/>
  </w:num>
  <w:num w:numId="11">
    <w:abstractNumId w:val="4"/>
  </w:num>
  <w:num w:numId="12">
    <w:abstractNumId w:val="14"/>
  </w:num>
  <w:num w:numId="13">
    <w:abstractNumId w:val="18"/>
  </w:num>
  <w:num w:numId="14">
    <w:abstractNumId w:val="15"/>
  </w:num>
  <w:num w:numId="15">
    <w:abstractNumId w:val="17"/>
  </w:num>
  <w:num w:numId="16">
    <w:abstractNumId w:val="3"/>
  </w:num>
  <w:num w:numId="17">
    <w:abstractNumId w:val="2"/>
  </w:num>
  <w:num w:numId="18">
    <w:abstractNumId w:val="11"/>
  </w:num>
  <w:num w:numId="19">
    <w:abstractNumId w:val="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0-EI"/>
  </w:docVars>
  <w:rsids>
    <w:rsidRoot w:val="00156E0F"/>
    <w:rsid w:val="000003EA"/>
    <w:rsid w:val="000022B8"/>
    <w:rsid w:val="00003883"/>
    <w:rsid w:val="000048E2"/>
    <w:rsid w:val="000061C5"/>
    <w:rsid w:val="00011251"/>
    <w:rsid w:val="00012B32"/>
    <w:rsid w:val="000211C5"/>
    <w:rsid w:val="000214A1"/>
    <w:rsid w:val="00025C2A"/>
    <w:rsid w:val="00025C73"/>
    <w:rsid w:val="00025C9D"/>
    <w:rsid w:val="00032787"/>
    <w:rsid w:val="0003433F"/>
    <w:rsid w:val="00035036"/>
    <w:rsid w:val="000355E7"/>
    <w:rsid w:val="00035A8C"/>
    <w:rsid w:val="00036BDD"/>
    <w:rsid w:val="000372A2"/>
    <w:rsid w:val="0004190B"/>
    <w:rsid w:val="00041FFD"/>
    <w:rsid w:val="00042C99"/>
    <w:rsid w:val="00044E17"/>
    <w:rsid w:val="00047C56"/>
    <w:rsid w:val="00053AB9"/>
    <w:rsid w:val="00056229"/>
    <w:rsid w:val="00057AF1"/>
    <w:rsid w:val="0006586A"/>
    <w:rsid w:val="00065BB9"/>
    <w:rsid w:val="00065FC2"/>
    <w:rsid w:val="00066009"/>
    <w:rsid w:val="00066861"/>
    <w:rsid w:val="00067685"/>
    <w:rsid w:val="00067B07"/>
    <w:rsid w:val="0007165F"/>
    <w:rsid w:val="000730C2"/>
    <w:rsid w:val="000730D7"/>
    <w:rsid w:val="000736B1"/>
    <w:rsid w:val="000748D4"/>
    <w:rsid w:val="00076E6B"/>
    <w:rsid w:val="00081AE4"/>
    <w:rsid w:val="00081CCF"/>
    <w:rsid w:val="0008247D"/>
    <w:rsid w:val="000844C5"/>
    <w:rsid w:val="00087B96"/>
    <w:rsid w:val="00090AFC"/>
    <w:rsid w:val="00090DF9"/>
    <w:rsid w:val="00096025"/>
    <w:rsid w:val="00096507"/>
    <w:rsid w:val="00097328"/>
    <w:rsid w:val="00097ECF"/>
    <w:rsid w:val="000A4F18"/>
    <w:rsid w:val="000A5C34"/>
    <w:rsid w:val="000A6036"/>
    <w:rsid w:val="000A774F"/>
    <w:rsid w:val="000B12BB"/>
    <w:rsid w:val="000B1603"/>
    <w:rsid w:val="000B28CC"/>
    <w:rsid w:val="000B783E"/>
    <w:rsid w:val="000B7AD2"/>
    <w:rsid w:val="000B7D81"/>
    <w:rsid w:val="000C0FCD"/>
    <w:rsid w:val="000C1994"/>
    <w:rsid w:val="000C3236"/>
    <w:rsid w:val="000C5EE0"/>
    <w:rsid w:val="000C6926"/>
    <w:rsid w:val="000D02B8"/>
    <w:rsid w:val="000D06E8"/>
    <w:rsid w:val="000D1CAB"/>
    <w:rsid w:val="000D52C1"/>
    <w:rsid w:val="000D5625"/>
    <w:rsid w:val="000D6DE5"/>
    <w:rsid w:val="000D6E65"/>
    <w:rsid w:val="000D78FB"/>
    <w:rsid w:val="000E050C"/>
    <w:rsid w:val="000E20F0"/>
    <w:rsid w:val="000E2593"/>
    <w:rsid w:val="000E26FB"/>
    <w:rsid w:val="000E2887"/>
    <w:rsid w:val="000E3051"/>
    <w:rsid w:val="000E344D"/>
    <w:rsid w:val="000E3F6D"/>
    <w:rsid w:val="000E700B"/>
    <w:rsid w:val="000F0C25"/>
    <w:rsid w:val="000F11F1"/>
    <w:rsid w:val="000F359F"/>
    <w:rsid w:val="000F3B2C"/>
    <w:rsid w:val="000F3F6C"/>
    <w:rsid w:val="000F48D7"/>
    <w:rsid w:val="000F5852"/>
    <w:rsid w:val="000F63EB"/>
    <w:rsid w:val="000F648A"/>
    <w:rsid w:val="000F7BE3"/>
    <w:rsid w:val="00103190"/>
    <w:rsid w:val="00104333"/>
    <w:rsid w:val="001052BA"/>
    <w:rsid w:val="00105D5C"/>
    <w:rsid w:val="001062EB"/>
    <w:rsid w:val="001107B3"/>
    <w:rsid w:val="00110A08"/>
    <w:rsid w:val="0011138F"/>
    <w:rsid w:val="001114B1"/>
    <w:rsid w:val="00112D55"/>
    <w:rsid w:val="001139D8"/>
    <w:rsid w:val="00116AD3"/>
    <w:rsid w:val="00121941"/>
    <w:rsid w:val="00121957"/>
    <w:rsid w:val="00123211"/>
    <w:rsid w:val="0012387E"/>
    <w:rsid w:val="0012393B"/>
    <w:rsid w:val="001259EC"/>
    <w:rsid w:val="00126593"/>
    <w:rsid w:val="00126C01"/>
    <w:rsid w:val="00130FA7"/>
    <w:rsid w:val="00132422"/>
    <w:rsid w:val="00133DC1"/>
    <w:rsid w:val="00134177"/>
    <w:rsid w:val="00136087"/>
    <w:rsid w:val="00136E58"/>
    <w:rsid w:val="00142A96"/>
    <w:rsid w:val="00144EB5"/>
    <w:rsid w:val="001451EB"/>
    <w:rsid w:val="00146A7F"/>
    <w:rsid w:val="00150105"/>
    <w:rsid w:val="001513DE"/>
    <w:rsid w:val="00154A71"/>
    <w:rsid w:val="001562B9"/>
    <w:rsid w:val="00156E0F"/>
    <w:rsid w:val="001655D4"/>
    <w:rsid w:val="00165803"/>
    <w:rsid w:val="0016677D"/>
    <w:rsid w:val="0016704D"/>
    <w:rsid w:val="00173335"/>
    <w:rsid w:val="00184D1E"/>
    <w:rsid w:val="00185F09"/>
    <w:rsid w:val="00187E32"/>
    <w:rsid w:val="001918FF"/>
    <w:rsid w:val="00194420"/>
    <w:rsid w:val="00194A97"/>
    <w:rsid w:val="00194E81"/>
    <w:rsid w:val="00197710"/>
    <w:rsid w:val="0019774B"/>
    <w:rsid w:val="001A15E7"/>
    <w:rsid w:val="001A2D79"/>
    <w:rsid w:val="001A33C9"/>
    <w:rsid w:val="001A4953"/>
    <w:rsid w:val="001A58F3"/>
    <w:rsid w:val="001A5B31"/>
    <w:rsid w:val="001B034E"/>
    <w:rsid w:val="001B1A18"/>
    <w:rsid w:val="001B41C1"/>
    <w:rsid w:val="001B66AF"/>
    <w:rsid w:val="001B674F"/>
    <w:rsid w:val="001C0907"/>
    <w:rsid w:val="001C1A74"/>
    <w:rsid w:val="001C2847"/>
    <w:rsid w:val="001C3BB5"/>
    <w:rsid w:val="001C3F8C"/>
    <w:rsid w:val="001C445C"/>
    <w:rsid w:val="001C47A0"/>
    <w:rsid w:val="001C5338"/>
    <w:rsid w:val="001C6097"/>
    <w:rsid w:val="001C7126"/>
    <w:rsid w:val="001D008A"/>
    <w:rsid w:val="001D0794"/>
    <w:rsid w:val="001D1033"/>
    <w:rsid w:val="001D4A1A"/>
    <w:rsid w:val="001D4CC0"/>
    <w:rsid w:val="001D67F7"/>
    <w:rsid w:val="001D68D9"/>
    <w:rsid w:val="001D7777"/>
    <w:rsid w:val="001D7A9F"/>
    <w:rsid w:val="001E0152"/>
    <w:rsid w:val="001E0FF5"/>
    <w:rsid w:val="001E2871"/>
    <w:rsid w:val="001E3476"/>
    <w:rsid w:val="001E3D1B"/>
    <w:rsid w:val="001F0095"/>
    <w:rsid w:val="001F36B0"/>
    <w:rsid w:val="001F4CA3"/>
    <w:rsid w:val="001F59E0"/>
    <w:rsid w:val="001F6B8D"/>
    <w:rsid w:val="002002ED"/>
    <w:rsid w:val="002044DD"/>
    <w:rsid w:val="00204733"/>
    <w:rsid w:val="002101DA"/>
    <w:rsid w:val="002119E0"/>
    <w:rsid w:val="00214010"/>
    <w:rsid w:val="002158DC"/>
    <w:rsid w:val="00216541"/>
    <w:rsid w:val="002170E5"/>
    <w:rsid w:val="002179AC"/>
    <w:rsid w:val="00220257"/>
    <w:rsid w:val="00220D57"/>
    <w:rsid w:val="0022111A"/>
    <w:rsid w:val="00223B99"/>
    <w:rsid w:val="00224F98"/>
    <w:rsid w:val="00226F97"/>
    <w:rsid w:val="0022721A"/>
    <w:rsid w:val="00230BB9"/>
    <w:rsid w:val="00233830"/>
    <w:rsid w:val="00236E4C"/>
    <w:rsid w:val="0024050F"/>
    <w:rsid w:val="00240A3A"/>
    <w:rsid w:val="00241CEF"/>
    <w:rsid w:val="0024275D"/>
    <w:rsid w:val="00244000"/>
    <w:rsid w:val="00244E3F"/>
    <w:rsid w:val="00244EB9"/>
    <w:rsid w:val="0025124E"/>
    <w:rsid w:val="00251F4D"/>
    <w:rsid w:val="00252B30"/>
    <w:rsid w:val="00252EAF"/>
    <w:rsid w:val="002537AC"/>
    <w:rsid w:val="00255291"/>
    <w:rsid w:val="00255F8B"/>
    <w:rsid w:val="002576A4"/>
    <w:rsid w:val="0025776C"/>
    <w:rsid w:val="00257C48"/>
    <w:rsid w:val="002613E4"/>
    <w:rsid w:val="00261C9D"/>
    <w:rsid w:val="00262C43"/>
    <w:rsid w:val="0026390F"/>
    <w:rsid w:val="0026544B"/>
    <w:rsid w:val="00266AE5"/>
    <w:rsid w:val="00270F89"/>
    <w:rsid w:val="00274176"/>
    <w:rsid w:val="00275026"/>
    <w:rsid w:val="00276CDC"/>
    <w:rsid w:val="00277655"/>
    <w:rsid w:val="002824B7"/>
    <w:rsid w:val="00282AC4"/>
    <w:rsid w:val="0028449B"/>
    <w:rsid w:val="00290C78"/>
    <w:rsid w:val="00292595"/>
    <w:rsid w:val="00292F02"/>
    <w:rsid w:val="00293DC9"/>
    <w:rsid w:val="00294802"/>
    <w:rsid w:val="00294DAA"/>
    <w:rsid w:val="002964F5"/>
    <w:rsid w:val="00296AA7"/>
    <w:rsid w:val="00297C37"/>
    <w:rsid w:val="00297C94"/>
    <w:rsid w:val="00297E3A"/>
    <w:rsid w:val="002A11AC"/>
    <w:rsid w:val="002A1B95"/>
    <w:rsid w:val="002A2499"/>
    <w:rsid w:val="002A4620"/>
    <w:rsid w:val="002A4C8A"/>
    <w:rsid w:val="002A5505"/>
    <w:rsid w:val="002A6F30"/>
    <w:rsid w:val="002A7749"/>
    <w:rsid w:val="002A7884"/>
    <w:rsid w:val="002A7D04"/>
    <w:rsid w:val="002B3111"/>
    <w:rsid w:val="002B3379"/>
    <w:rsid w:val="002B5167"/>
    <w:rsid w:val="002B6285"/>
    <w:rsid w:val="002B7A09"/>
    <w:rsid w:val="002C09F5"/>
    <w:rsid w:val="002C118E"/>
    <w:rsid w:val="002C1E26"/>
    <w:rsid w:val="002C2096"/>
    <w:rsid w:val="002C29B0"/>
    <w:rsid w:val="002C3C71"/>
    <w:rsid w:val="002C5872"/>
    <w:rsid w:val="002C5DB9"/>
    <w:rsid w:val="002C6591"/>
    <w:rsid w:val="002C6F70"/>
    <w:rsid w:val="002C7908"/>
    <w:rsid w:val="002D0328"/>
    <w:rsid w:val="002D075F"/>
    <w:rsid w:val="002D079D"/>
    <w:rsid w:val="002D0E96"/>
    <w:rsid w:val="002D391B"/>
    <w:rsid w:val="002D4B1F"/>
    <w:rsid w:val="002D5CFC"/>
    <w:rsid w:val="002D7D15"/>
    <w:rsid w:val="002E01EA"/>
    <w:rsid w:val="002E09F3"/>
    <w:rsid w:val="002E1B2E"/>
    <w:rsid w:val="002E27EB"/>
    <w:rsid w:val="002E285B"/>
    <w:rsid w:val="002E45CB"/>
    <w:rsid w:val="002E4CBB"/>
    <w:rsid w:val="002E4EF4"/>
    <w:rsid w:val="002E78B6"/>
    <w:rsid w:val="002E7CB2"/>
    <w:rsid w:val="002F04AD"/>
    <w:rsid w:val="002F0F1A"/>
    <w:rsid w:val="002F0F1C"/>
    <w:rsid w:val="002F2A9D"/>
    <w:rsid w:val="002F31C2"/>
    <w:rsid w:val="002F3790"/>
    <w:rsid w:val="002F56E9"/>
    <w:rsid w:val="002F7BF6"/>
    <w:rsid w:val="003012A1"/>
    <w:rsid w:val="00303FDE"/>
    <w:rsid w:val="00304755"/>
    <w:rsid w:val="00313C5B"/>
    <w:rsid w:val="003140E8"/>
    <w:rsid w:val="003144B7"/>
    <w:rsid w:val="00315C77"/>
    <w:rsid w:val="00320058"/>
    <w:rsid w:val="00320224"/>
    <w:rsid w:val="003212B3"/>
    <w:rsid w:val="00321702"/>
    <w:rsid w:val="003231C7"/>
    <w:rsid w:val="00323839"/>
    <w:rsid w:val="003270C4"/>
    <w:rsid w:val="00331ED0"/>
    <w:rsid w:val="00332B0A"/>
    <w:rsid w:val="00333A41"/>
    <w:rsid w:val="003374FD"/>
    <w:rsid w:val="00341036"/>
    <w:rsid w:val="00344C4B"/>
    <w:rsid w:val="003453A1"/>
    <w:rsid w:val="00345434"/>
    <w:rsid w:val="00347232"/>
    <w:rsid w:val="003506FC"/>
    <w:rsid w:val="00351C22"/>
    <w:rsid w:val="0035495B"/>
    <w:rsid w:val="00354E82"/>
    <w:rsid w:val="00355A93"/>
    <w:rsid w:val="00360C03"/>
    <w:rsid w:val="00360F30"/>
    <w:rsid w:val="00361514"/>
    <w:rsid w:val="00361522"/>
    <w:rsid w:val="003621FD"/>
    <w:rsid w:val="0036362B"/>
    <w:rsid w:val="00366C44"/>
    <w:rsid w:val="0037196E"/>
    <w:rsid w:val="00373CC2"/>
    <w:rsid w:val="0037442E"/>
    <w:rsid w:val="003744F5"/>
    <w:rsid w:val="00375079"/>
    <w:rsid w:val="003761BA"/>
    <w:rsid w:val="00382C6A"/>
    <w:rsid w:val="00385363"/>
    <w:rsid w:val="00385D0B"/>
    <w:rsid w:val="003875A9"/>
    <w:rsid w:val="00387BDE"/>
    <w:rsid w:val="00390DD8"/>
    <w:rsid w:val="0039380B"/>
    <w:rsid w:val="00393F64"/>
    <w:rsid w:val="00394DC6"/>
    <w:rsid w:val="00396B24"/>
    <w:rsid w:val="00397C3E"/>
    <w:rsid w:val="003A302B"/>
    <w:rsid w:val="003A5F8B"/>
    <w:rsid w:val="003B1A09"/>
    <w:rsid w:val="003B2628"/>
    <w:rsid w:val="003B2979"/>
    <w:rsid w:val="003B3556"/>
    <w:rsid w:val="003B3B09"/>
    <w:rsid w:val="003B4F77"/>
    <w:rsid w:val="003B65E9"/>
    <w:rsid w:val="003B6D17"/>
    <w:rsid w:val="003B6F02"/>
    <w:rsid w:val="003B7AEA"/>
    <w:rsid w:val="003C0431"/>
    <w:rsid w:val="003C05C6"/>
    <w:rsid w:val="003C0634"/>
    <w:rsid w:val="003C29BB"/>
    <w:rsid w:val="003C3EF2"/>
    <w:rsid w:val="003D14DB"/>
    <w:rsid w:val="003D1BE3"/>
    <w:rsid w:val="003D20AF"/>
    <w:rsid w:val="003D265F"/>
    <w:rsid w:val="003D3124"/>
    <w:rsid w:val="003D3989"/>
    <w:rsid w:val="003D3EE1"/>
    <w:rsid w:val="003D415A"/>
    <w:rsid w:val="003D4CCA"/>
    <w:rsid w:val="003D52A6"/>
    <w:rsid w:val="003D6416"/>
    <w:rsid w:val="003E18FC"/>
    <w:rsid w:val="003E1D48"/>
    <w:rsid w:val="003E2CF4"/>
    <w:rsid w:val="003E36A4"/>
    <w:rsid w:val="003E711F"/>
    <w:rsid w:val="003F1D2B"/>
    <w:rsid w:val="003F3A4B"/>
    <w:rsid w:val="003F49A6"/>
    <w:rsid w:val="003F518F"/>
    <w:rsid w:val="003F53D8"/>
    <w:rsid w:val="003F6446"/>
    <w:rsid w:val="003F6BA7"/>
    <w:rsid w:val="003F7445"/>
    <w:rsid w:val="004044C5"/>
    <w:rsid w:val="00404C58"/>
    <w:rsid w:val="00404E79"/>
    <w:rsid w:val="00405881"/>
    <w:rsid w:val="00407047"/>
    <w:rsid w:val="00411DF2"/>
    <w:rsid w:val="00411E8F"/>
    <w:rsid w:val="0041412B"/>
    <w:rsid w:val="00415AC6"/>
    <w:rsid w:val="00415D7A"/>
    <w:rsid w:val="004173BA"/>
    <w:rsid w:val="00417954"/>
    <w:rsid w:val="00417A39"/>
    <w:rsid w:val="004201E3"/>
    <w:rsid w:val="00423FF9"/>
    <w:rsid w:val="004247F5"/>
    <w:rsid w:val="00424922"/>
    <w:rsid w:val="00425154"/>
    <w:rsid w:val="0042527B"/>
    <w:rsid w:val="0042705B"/>
    <w:rsid w:val="00427EAC"/>
    <w:rsid w:val="00433E00"/>
    <w:rsid w:val="004431B4"/>
    <w:rsid w:val="00444784"/>
    <w:rsid w:val="00444F8B"/>
    <w:rsid w:val="00445604"/>
    <w:rsid w:val="00447BDA"/>
    <w:rsid w:val="00451158"/>
    <w:rsid w:val="00451804"/>
    <w:rsid w:val="00451E3B"/>
    <w:rsid w:val="00452134"/>
    <w:rsid w:val="00453C21"/>
    <w:rsid w:val="00454899"/>
    <w:rsid w:val="0045537F"/>
    <w:rsid w:val="00457DC7"/>
    <w:rsid w:val="00463A80"/>
    <w:rsid w:val="004640B3"/>
    <w:rsid w:val="0046541F"/>
    <w:rsid w:val="00467A2F"/>
    <w:rsid w:val="00467A46"/>
    <w:rsid w:val="004704F4"/>
    <w:rsid w:val="00470DB7"/>
    <w:rsid w:val="00471213"/>
    <w:rsid w:val="00471E96"/>
    <w:rsid w:val="00472BCC"/>
    <w:rsid w:val="004738D7"/>
    <w:rsid w:val="00475DDB"/>
    <w:rsid w:val="00476372"/>
    <w:rsid w:val="00477699"/>
    <w:rsid w:val="004779AA"/>
    <w:rsid w:val="00480710"/>
    <w:rsid w:val="00485D27"/>
    <w:rsid w:val="004861B5"/>
    <w:rsid w:val="004872BF"/>
    <w:rsid w:val="00493BBA"/>
    <w:rsid w:val="004A25CD"/>
    <w:rsid w:val="004A26CC"/>
    <w:rsid w:val="004B2108"/>
    <w:rsid w:val="004B212A"/>
    <w:rsid w:val="004B3172"/>
    <w:rsid w:val="004B3A2B"/>
    <w:rsid w:val="004B70D3"/>
    <w:rsid w:val="004C0219"/>
    <w:rsid w:val="004C0A3A"/>
    <w:rsid w:val="004C312D"/>
    <w:rsid w:val="004C5375"/>
    <w:rsid w:val="004D2170"/>
    <w:rsid w:val="004D2C87"/>
    <w:rsid w:val="004D2D1B"/>
    <w:rsid w:val="004D32B8"/>
    <w:rsid w:val="004D5067"/>
    <w:rsid w:val="004D6838"/>
    <w:rsid w:val="004D72BC"/>
    <w:rsid w:val="004E08CE"/>
    <w:rsid w:val="004E4403"/>
    <w:rsid w:val="004E469D"/>
    <w:rsid w:val="004E547D"/>
    <w:rsid w:val="004E5F79"/>
    <w:rsid w:val="004E7146"/>
    <w:rsid w:val="004E7F4F"/>
    <w:rsid w:val="004F03B2"/>
    <w:rsid w:val="004F094F"/>
    <w:rsid w:val="004F0AF7"/>
    <w:rsid w:val="004F209C"/>
    <w:rsid w:val="004F2DDE"/>
    <w:rsid w:val="004F3AA8"/>
    <w:rsid w:val="004F4E53"/>
    <w:rsid w:val="004F5A55"/>
    <w:rsid w:val="004F6426"/>
    <w:rsid w:val="004F7826"/>
    <w:rsid w:val="0050097F"/>
    <w:rsid w:val="005023A6"/>
    <w:rsid w:val="00502FD4"/>
    <w:rsid w:val="00505D83"/>
    <w:rsid w:val="00507A8F"/>
    <w:rsid w:val="00511872"/>
    <w:rsid w:val="00511A83"/>
    <w:rsid w:val="00512879"/>
    <w:rsid w:val="00513EC1"/>
    <w:rsid w:val="00514736"/>
    <w:rsid w:val="00514B1F"/>
    <w:rsid w:val="005161D2"/>
    <w:rsid w:val="00516783"/>
    <w:rsid w:val="005206EA"/>
    <w:rsid w:val="005207A5"/>
    <w:rsid w:val="005228DD"/>
    <w:rsid w:val="00523B7D"/>
    <w:rsid w:val="00523C5C"/>
    <w:rsid w:val="00524884"/>
    <w:rsid w:val="00525E93"/>
    <w:rsid w:val="0052627B"/>
    <w:rsid w:val="0052671D"/>
    <w:rsid w:val="005300C0"/>
    <w:rsid w:val="00531973"/>
    <w:rsid w:val="005335E1"/>
    <w:rsid w:val="00533EF6"/>
    <w:rsid w:val="005359AE"/>
    <w:rsid w:val="0053668D"/>
    <w:rsid w:val="005369A9"/>
    <w:rsid w:val="00536F10"/>
    <w:rsid w:val="005374F0"/>
    <w:rsid w:val="00540B41"/>
    <w:rsid w:val="00540E6B"/>
    <w:rsid w:val="0054109E"/>
    <w:rsid w:val="00541212"/>
    <w:rsid w:val="00542DCB"/>
    <w:rsid w:val="00543CC0"/>
    <w:rsid w:val="00543D8C"/>
    <w:rsid w:val="00544D59"/>
    <w:rsid w:val="00550D60"/>
    <w:rsid w:val="00552D35"/>
    <w:rsid w:val="00554AA1"/>
    <w:rsid w:val="0055595D"/>
    <w:rsid w:val="00556A10"/>
    <w:rsid w:val="00557F50"/>
    <w:rsid w:val="005645FC"/>
    <w:rsid w:val="0056631D"/>
    <w:rsid w:val="005679A0"/>
    <w:rsid w:val="00570FEC"/>
    <w:rsid w:val="00571D3D"/>
    <w:rsid w:val="00573194"/>
    <w:rsid w:val="00574379"/>
    <w:rsid w:val="00580B22"/>
    <w:rsid w:val="0058264B"/>
    <w:rsid w:val="00583F81"/>
    <w:rsid w:val="005850DF"/>
    <w:rsid w:val="00586368"/>
    <w:rsid w:val="005868AA"/>
    <w:rsid w:val="0058796A"/>
    <w:rsid w:val="00590845"/>
    <w:rsid w:val="00590CDE"/>
    <w:rsid w:val="00591A2E"/>
    <w:rsid w:val="005944A0"/>
    <w:rsid w:val="00594726"/>
    <w:rsid w:val="005963C2"/>
    <w:rsid w:val="005A0444"/>
    <w:rsid w:val="005A0D69"/>
    <w:rsid w:val="005A0ED8"/>
    <w:rsid w:val="005A1137"/>
    <w:rsid w:val="005A2CBF"/>
    <w:rsid w:val="005A31F4"/>
    <w:rsid w:val="005A4234"/>
    <w:rsid w:val="005A70BE"/>
    <w:rsid w:val="005A73EA"/>
    <w:rsid w:val="005B007F"/>
    <w:rsid w:val="005B1EE8"/>
    <w:rsid w:val="005B29E6"/>
    <w:rsid w:val="005B45F7"/>
    <w:rsid w:val="005B4DE5"/>
    <w:rsid w:val="005B5920"/>
    <w:rsid w:val="005B63EA"/>
    <w:rsid w:val="005C15A7"/>
    <w:rsid w:val="005C1A88"/>
    <w:rsid w:val="005C461F"/>
    <w:rsid w:val="005C5033"/>
    <w:rsid w:val="005C57E4"/>
    <w:rsid w:val="005D0815"/>
    <w:rsid w:val="005D1BF7"/>
    <w:rsid w:val="005D4E1B"/>
    <w:rsid w:val="005D6D73"/>
    <w:rsid w:val="005E433D"/>
    <w:rsid w:val="005E751B"/>
    <w:rsid w:val="005E785A"/>
    <w:rsid w:val="005F25AA"/>
    <w:rsid w:val="005F2751"/>
    <w:rsid w:val="005F2B67"/>
    <w:rsid w:val="005F3354"/>
    <w:rsid w:val="005F350A"/>
    <w:rsid w:val="005F444E"/>
    <w:rsid w:val="005F4AD6"/>
    <w:rsid w:val="005F6B62"/>
    <w:rsid w:val="0060005E"/>
    <w:rsid w:val="0060095B"/>
    <w:rsid w:val="00601266"/>
    <w:rsid w:val="006022F5"/>
    <w:rsid w:val="00604EDA"/>
    <w:rsid w:val="00605DC0"/>
    <w:rsid w:val="00610221"/>
    <w:rsid w:val="00610543"/>
    <w:rsid w:val="00610E73"/>
    <w:rsid w:val="0061395F"/>
    <w:rsid w:val="0061470E"/>
    <w:rsid w:val="00614727"/>
    <w:rsid w:val="00615F9B"/>
    <w:rsid w:val="006167A1"/>
    <w:rsid w:val="00616DF2"/>
    <w:rsid w:val="0062385D"/>
    <w:rsid w:val="00625111"/>
    <w:rsid w:val="00627E1B"/>
    <w:rsid w:val="00630A07"/>
    <w:rsid w:val="0063168D"/>
    <w:rsid w:val="0063287C"/>
    <w:rsid w:val="0063406C"/>
    <w:rsid w:val="00635C79"/>
    <w:rsid w:val="00637378"/>
    <w:rsid w:val="006409FF"/>
    <w:rsid w:val="00641AF7"/>
    <w:rsid w:val="006423A7"/>
    <w:rsid w:val="006455DF"/>
    <w:rsid w:val="00645AF6"/>
    <w:rsid w:val="0064657A"/>
    <w:rsid w:val="00647025"/>
    <w:rsid w:val="00647286"/>
    <w:rsid w:val="0064730A"/>
    <w:rsid w:val="006507DA"/>
    <w:rsid w:val="006531A4"/>
    <w:rsid w:val="00653379"/>
    <w:rsid w:val="00660774"/>
    <w:rsid w:val="00661652"/>
    <w:rsid w:val="00661AD0"/>
    <w:rsid w:val="00661F83"/>
    <w:rsid w:val="0066389A"/>
    <w:rsid w:val="0066495C"/>
    <w:rsid w:val="00665165"/>
    <w:rsid w:val="00665CC7"/>
    <w:rsid w:val="00667432"/>
    <w:rsid w:val="006724F9"/>
    <w:rsid w:val="00672612"/>
    <w:rsid w:val="00673352"/>
    <w:rsid w:val="00674ECC"/>
    <w:rsid w:val="00677F18"/>
    <w:rsid w:val="006836E6"/>
    <w:rsid w:val="00684493"/>
    <w:rsid w:val="00684AE3"/>
    <w:rsid w:val="0068531E"/>
    <w:rsid w:val="00687188"/>
    <w:rsid w:val="00690351"/>
    <w:rsid w:val="00692E1A"/>
    <w:rsid w:val="00693483"/>
    <w:rsid w:val="00695682"/>
    <w:rsid w:val="00696892"/>
    <w:rsid w:val="006A0A0A"/>
    <w:rsid w:val="006A0BF3"/>
    <w:rsid w:val="006A1519"/>
    <w:rsid w:val="006A502B"/>
    <w:rsid w:val="006B0036"/>
    <w:rsid w:val="006B0DA6"/>
    <w:rsid w:val="006B2614"/>
    <w:rsid w:val="006B3FA9"/>
    <w:rsid w:val="006B6757"/>
    <w:rsid w:val="006C3055"/>
    <w:rsid w:val="006C41A1"/>
    <w:rsid w:val="006C547E"/>
    <w:rsid w:val="006C68E3"/>
    <w:rsid w:val="006C6A11"/>
    <w:rsid w:val="006D05D5"/>
    <w:rsid w:val="006D0B72"/>
    <w:rsid w:val="006D1898"/>
    <w:rsid w:val="006D2B51"/>
    <w:rsid w:val="006D3A7A"/>
    <w:rsid w:val="006D5575"/>
    <w:rsid w:val="006D7191"/>
    <w:rsid w:val="006E1C4B"/>
    <w:rsid w:val="006E21C4"/>
    <w:rsid w:val="006E3E65"/>
    <w:rsid w:val="006E42BE"/>
    <w:rsid w:val="006E5D4D"/>
    <w:rsid w:val="006E6D16"/>
    <w:rsid w:val="006F26B1"/>
    <w:rsid w:val="00701C9A"/>
    <w:rsid w:val="00703F2A"/>
    <w:rsid w:val="0070426E"/>
    <w:rsid w:val="00704C5D"/>
    <w:rsid w:val="00705071"/>
    <w:rsid w:val="007055E2"/>
    <w:rsid w:val="00706345"/>
    <w:rsid w:val="007072BC"/>
    <w:rsid w:val="00715275"/>
    <w:rsid w:val="007155AC"/>
    <w:rsid w:val="00716B47"/>
    <w:rsid w:val="007216AA"/>
    <w:rsid w:val="00721B44"/>
    <w:rsid w:val="00721BFC"/>
    <w:rsid w:val="007232A2"/>
    <w:rsid w:val="0072467D"/>
    <w:rsid w:val="00726366"/>
    <w:rsid w:val="0072673F"/>
    <w:rsid w:val="00731214"/>
    <w:rsid w:val="00731AB6"/>
    <w:rsid w:val="00733B6B"/>
    <w:rsid w:val="00740808"/>
    <w:rsid w:val="00740A1B"/>
    <w:rsid w:val="00742478"/>
    <w:rsid w:val="007457C1"/>
    <w:rsid w:val="0074621B"/>
    <w:rsid w:val="007467C4"/>
    <w:rsid w:val="007469B1"/>
    <w:rsid w:val="00755702"/>
    <w:rsid w:val="007560DE"/>
    <w:rsid w:val="007569A8"/>
    <w:rsid w:val="007569BB"/>
    <w:rsid w:val="0076170F"/>
    <w:rsid w:val="007627AB"/>
    <w:rsid w:val="00764396"/>
    <w:rsid w:val="0076669C"/>
    <w:rsid w:val="00766C34"/>
    <w:rsid w:val="00766E46"/>
    <w:rsid w:val="00771018"/>
    <w:rsid w:val="00772CCB"/>
    <w:rsid w:val="00773DFE"/>
    <w:rsid w:val="007751B7"/>
    <w:rsid w:val="00776082"/>
    <w:rsid w:val="00777193"/>
    <w:rsid w:val="00777727"/>
    <w:rsid w:val="0078094E"/>
    <w:rsid w:val="00781087"/>
    <w:rsid w:val="0078166A"/>
    <w:rsid w:val="00782B79"/>
    <w:rsid w:val="00783811"/>
    <w:rsid w:val="0078498E"/>
    <w:rsid w:val="007865E9"/>
    <w:rsid w:val="0078792B"/>
    <w:rsid w:val="00790022"/>
    <w:rsid w:val="00790677"/>
    <w:rsid w:val="00791F1A"/>
    <w:rsid w:val="0079237D"/>
    <w:rsid w:val="00792383"/>
    <w:rsid w:val="00794D5A"/>
    <w:rsid w:val="00794DD9"/>
    <w:rsid w:val="00796152"/>
    <w:rsid w:val="007965EF"/>
    <w:rsid w:val="007A060F"/>
    <w:rsid w:val="007A069D"/>
    <w:rsid w:val="007A37DC"/>
    <w:rsid w:val="007A6CDB"/>
    <w:rsid w:val="007B18DA"/>
    <w:rsid w:val="007B1C5E"/>
    <w:rsid w:val="007B350E"/>
    <w:rsid w:val="007B7ED9"/>
    <w:rsid w:val="007C0FBC"/>
    <w:rsid w:val="007C29C9"/>
    <w:rsid w:val="007C35B8"/>
    <w:rsid w:val="007C36E3"/>
    <w:rsid w:val="007C3ABB"/>
    <w:rsid w:val="007C5C4E"/>
    <w:rsid w:val="007C6282"/>
    <w:rsid w:val="007C6718"/>
    <w:rsid w:val="007C7134"/>
    <w:rsid w:val="007C7ECF"/>
    <w:rsid w:val="007D1FB0"/>
    <w:rsid w:val="007D37FA"/>
    <w:rsid w:val="007D3D20"/>
    <w:rsid w:val="007D44F9"/>
    <w:rsid w:val="007D742E"/>
    <w:rsid w:val="007D7D9B"/>
    <w:rsid w:val="007E3AFD"/>
    <w:rsid w:val="007E3CB7"/>
    <w:rsid w:val="007E542E"/>
    <w:rsid w:val="007E6583"/>
    <w:rsid w:val="007F0EC9"/>
    <w:rsid w:val="007F3999"/>
    <w:rsid w:val="007F3DE1"/>
    <w:rsid w:val="007F7943"/>
    <w:rsid w:val="007F7C74"/>
    <w:rsid w:val="007F7D2A"/>
    <w:rsid w:val="00801DAD"/>
    <w:rsid w:val="00802988"/>
    <w:rsid w:val="00803189"/>
    <w:rsid w:val="00804E7A"/>
    <w:rsid w:val="00805FBB"/>
    <w:rsid w:val="00813F19"/>
    <w:rsid w:val="00814292"/>
    <w:rsid w:val="008169A4"/>
    <w:rsid w:val="008214C1"/>
    <w:rsid w:val="00822500"/>
    <w:rsid w:val="00823036"/>
    <w:rsid w:val="00825450"/>
    <w:rsid w:val="008278FE"/>
    <w:rsid w:val="00832598"/>
    <w:rsid w:val="008334D9"/>
    <w:rsid w:val="0083397E"/>
    <w:rsid w:val="00833BB5"/>
    <w:rsid w:val="00833E05"/>
    <w:rsid w:val="0083534B"/>
    <w:rsid w:val="008358A5"/>
    <w:rsid w:val="00836A3D"/>
    <w:rsid w:val="0084084E"/>
    <w:rsid w:val="00842035"/>
    <w:rsid w:val="00842602"/>
    <w:rsid w:val="008449F0"/>
    <w:rsid w:val="00846F11"/>
    <w:rsid w:val="00847B45"/>
    <w:rsid w:val="00851C2C"/>
    <w:rsid w:val="008524DB"/>
    <w:rsid w:val="008547A5"/>
    <w:rsid w:val="00863A66"/>
    <w:rsid w:val="00865A4A"/>
    <w:rsid w:val="008703D7"/>
    <w:rsid w:val="00870D47"/>
    <w:rsid w:val="008715E8"/>
    <w:rsid w:val="0087355C"/>
    <w:rsid w:val="0087433E"/>
    <w:rsid w:val="00874429"/>
    <w:rsid w:val="00875AC0"/>
    <w:rsid w:val="00875D22"/>
    <w:rsid w:val="00880D38"/>
    <w:rsid w:val="00880E44"/>
    <w:rsid w:val="00882D0D"/>
    <w:rsid w:val="00883D9A"/>
    <w:rsid w:val="00886A62"/>
    <w:rsid w:val="00890418"/>
    <w:rsid w:val="00890578"/>
    <w:rsid w:val="008919EF"/>
    <w:rsid w:val="00892B20"/>
    <w:rsid w:val="008931BC"/>
    <w:rsid w:val="008956F0"/>
    <w:rsid w:val="00896177"/>
    <w:rsid w:val="0089695B"/>
    <w:rsid w:val="00897740"/>
    <w:rsid w:val="008A12EC"/>
    <w:rsid w:val="008A1C6B"/>
    <w:rsid w:val="008A1DF5"/>
    <w:rsid w:val="008B14BE"/>
    <w:rsid w:val="008B19A6"/>
    <w:rsid w:val="008B4EFB"/>
    <w:rsid w:val="008B7371"/>
    <w:rsid w:val="008B7615"/>
    <w:rsid w:val="008B78ED"/>
    <w:rsid w:val="008C0263"/>
    <w:rsid w:val="008C17FA"/>
    <w:rsid w:val="008C21C8"/>
    <w:rsid w:val="008C5378"/>
    <w:rsid w:val="008C6375"/>
    <w:rsid w:val="008C6A5B"/>
    <w:rsid w:val="008C7E47"/>
    <w:rsid w:val="008D1E67"/>
    <w:rsid w:val="008D441D"/>
    <w:rsid w:val="008D498D"/>
    <w:rsid w:val="008D6D36"/>
    <w:rsid w:val="008D791F"/>
    <w:rsid w:val="008D7A54"/>
    <w:rsid w:val="008E0582"/>
    <w:rsid w:val="008E0693"/>
    <w:rsid w:val="008E26A5"/>
    <w:rsid w:val="008E4047"/>
    <w:rsid w:val="008E42D2"/>
    <w:rsid w:val="008E4343"/>
    <w:rsid w:val="008E6328"/>
    <w:rsid w:val="008F4F52"/>
    <w:rsid w:val="008F578F"/>
    <w:rsid w:val="008F5D04"/>
    <w:rsid w:val="008F6B3F"/>
    <w:rsid w:val="00902558"/>
    <w:rsid w:val="00902F40"/>
    <w:rsid w:val="00902FF3"/>
    <w:rsid w:val="009038D3"/>
    <w:rsid w:val="009040EE"/>
    <w:rsid w:val="009057FD"/>
    <w:rsid w:val="00906FBA"/>
    <w:rsid w:val="009072F2"/>
    <w:rsid w:val="0090780F"/>
    <w:rsid w:val="009163E8"/>
    <w:rsid w:val="00921BD3"/>
    <w:rsid w:val="009228C7"/>
    <w:rsid w:val="00922A7F"/>
    <w:rsid w:val="00923A5E"/>
    <w:rsid w:val="00924FE7"/>
    <w:rsid w:val="00926465"/>
    <w:rsid w:val="00926E27"/>
    <w:rsid w:val="00931C8C"/>
    <w:rsid w:val="00936740"/>
    <w:rsid w:val="00937890"/>
    <w:rsid w:val="009430BF"/>
    <w:rsid w:val="009435B6"/>
    <w:rsid w:val="00943D21"/>
    <w:rsid w:val="0094504B"/>
    <w:rsid w:val="00950ACE"/>
    <w:rsid w:val="00952040"/>
    <w:rsid w:val="0095430B"/>
    <w:rsid w:val="009557D7"/>
    <w:rsid w:val="00964A38"/>
    <w:rsid w:val="00964E08"/>
    <w:rsid w:val="00965620"/>
    <w:rsid w:val="00966A9D"/>
    <w:rsid w:val="0096742B"/>
    <w:rsid w:val="00967C64"/>
    <w:rsid w:val="009718C5"/>
    <w:rsid w:val="009720BA"/>
    <w:rsid w:val="009769F6"/>
    <w:rsid w:val="00976AFF"/>
    <w:rsid w:val="009802C4"/>
    <w:rsid w:val="009823BE"/>
    <w:rsid w:val="00982847"/>
    <w:rsid w:val="009839C1"/>
    <w:rsid w:val="00986AED"/>
    <w:rsid w:val="00986C88"/>
    <w:rsid w:val="00991927"/>
    <w:rsid w:val="009924CF"/>
    <w:rsid w:val="00993130"/>
    <w:rsid w:val="00994100"/>
    <w:rsid w:val="009A04B7"/>
    <w:rsid w:val="009A2304"/>
    <w:rsid w:val="009A3E0D"/>
    <w:rsid w:val="009A3FF1"/>
    <w:rsid w:val="009A6B17"/>
    <w:rsid w:val="009A7E5C"/>
    <w:rsid w:val="009B052E"/>
    <w:rsid w:val="009B0AE4"/>
    <w:rsid w:val="009B253D"/>
    <w:rsid w:val="009B4E00"/>
    <w:rsid w:val="009B4FCF"/>
    <w:rsid w:val="009B540D"/>
    <w:rsid w:val="009B5784"/>
    <w:rsid w:val="009B5A00"/>
    <w:rsid w:val="009C169A"/>
    <w:rsid w:val="009C37B4"/>
    <w:rsid w:val="009C411C"/>
    <w:rsid w:val="009C4300"/>
    <w:rsid w:val="009C4938"/>
    <w:rsid w:val="009C56AB"/>
    <w:rsid w:val="009C738C"/>
    <w:rsid w:val="009D4C29"/>
    <w:rsid w:val="009E58E9"/>
    <w:rsid w:val="009E6803"/>
    <w:rsid w:val="009E6F68"/>
    <w:rsid w:val="009E6FA8"/>
    <w:rsid w:val="009F1C14"/>
    <w:rsid w:val="009F25D4"/>
    <w:rsid w:val="009F45A4"/>
    <w:rsid w:val="009F6AD2"/>
    <w:rsid w:val="009F7C1B"/>
    <w:rsid w:val="00A003EF"/>
    <w:rsid w:val="00A00584"/>
    <w:rsid w:val="00A00B5B"/>
    <w:rsid w:val="00A00D8D"/>
    <w:rsid w:val="00A00E67"/>
    <w:rsid w:val="00A01BB6"/>
    <w:rsid w:val="00A108A7"/>
    <w:rsid w:val="00A228DA"/>
    <w:rsid w:val="00A22B28"/>
    <w:rsid w:val="00A26DC0"/>
    <w:rsid w:val="00A270D3"/>
    <w:rsid w:val="00A309F8"/>
    <w:rsid w:val="00A3351E"/>
    <w:rsid w:val="00A33926"/>
    <w:rsid w:val="00A34319"/>
    <w:rsid w:val="00A35D03"/>
    <w:rsid w:val="00A35D62"/>
    <w:rsid w:val="00A36867"/>
    <w:rsid w:val="00A414B5"/>
    <w:rsid w:val="00A4303C"/>
    <w:rsid w:val="00A43DE2"/>
    <w:rsid w:val="00A460B7"/>
    <w:rsid w:val="00A46CAF"/>
    <w:rsid w:val="00A47099"/>
    <w:rsid w:val="00A470FD"/>
    <w:rsid w:val="00A50B5E"/>
    <w:rsid w:val="00A51F7A"/>
    <w:rsid w:val="00A52B5D"/>
    <w:rsid w:val="00A571FA"/>
    <w:rsid w:val="00A62DAB"/>
    <w:rsid w:val="00A650CE"/>
    <w:rsid w:val="00A671FD"/>
    <w:rsid w:val="00A6757A"/>
    <w:rsid w:val="00A70B52"/>
    <w:rsid w:val="00A726A6"/>
    <w:rsid w:val="00A74842"/>
    <w:rsid w:val="00A811D7"/>
    <w:rsid w:val="00A813CC"/>
    <w:rsid w:val="00A81440"/>
    <w:rsid w:val="00A818AD"/>
    <w:rsid w:val="00A8269A"/>
    <w:rsid w:val="00A86A50"/>
    <w:rsid w:val="00A9178A"/>
    <w:rsid w:val="00A92DEC"/>
    <w:rsid w:val="00A9515B"/>
    <w:rsid w:val="00A9537B"/>
    <w:rsid w:val="00A97535"/>
    <w:rsid w:val="00AA1177"/>
    <w:rsid w:val="00AA22DB"/>
    <w:rsid w:val="00AA2BAA"/>
    <w:rsid w:val="00AA407A"/>
    <w:rsid w:val="00AA5005"/>
    <w:rsid w:val="00AA6516"/>
    <w:rsid w:val="00AA6A31"/>
    <w:rsid w:val="00AA715F"/>
    <w:rsid w:val="00AA7204"/>
    <w:rsid w:val="00AA73E7"/>
    <w:rsid w:val="00AA73F1"/>
    <w:rsid w:val="00AB0E1A"/>
    <w:rsid w:val="00AB1A30"/>
    <w:rsid w:val="00AB1B87"/>
    <w:rsid w:val="00AB2FFD"/>
    <w:rsid w:val="00AB3984"/>
    <w:rsid w:val="00AB3C36"/>
    <w:rsid w:val="00AB3D30"/>
    <w:rsid w:val="00AB4585"/>
    <w:rsid w:val="00AB582B"/>
    <w:rsid w:val="00AC016C"/>
    <w:rsid w:val="00AC2DAA"/>
    <w:rsid w:val="00AC4B09"/>
    <w:rsid w:val="00AC55D1"/>
    <w:rsid w:val="00AC589F"/>
    <w:rsid w:val="00AC5A01"/>
    <w:rsid w:val="00AC5CA5"/>
    <w:rsid w:val="00AC6449"/>
    <w:rsid w:val="00AC7AE5"/>
    <w:rsid w:val="00AD01C9"/>
    <w:rsid w:val="00AD0EF9"/>
    <w:rsid w:val="00AD10EB"/>
    <w:rsid w:val="00AD1ED3"/>
    <w:rsid w:val="00AD35F4"/>
    <w:rsid w:val="00AD3717"/>
    <w:rsid w:val="00AD74F4"/>
    <w:rsid w:val="00AE1E75"/>
    <w:rsid w:val="00AE204F"/>
    <w:rsid w:val="00AE2741"/>
    <w:rsid w:val="00AE395D"/>
    <w:rsid w:val="00AE3FDF"/>
    <w:rsid w:val="00AE4D02"/>
    <w:rsid w:val="00AE7982"/>
    <w:rsid w:val="00AF37DA"/>
    <w:rsid w:val="00AF3AC0"/>
    <w:rsid w:val="00AF3F38"/>
    <w:rsid w:val="00AF4DF5"/>
    <w:rsid w:val="00AF54BD"/>
    <w:rsid w:val="00AF5890"/>
    <w:rsid w:val="00B019C1"/>
    <w:rsid w:val="00B02001"/>
    <w:rsid w:val="00B03C50"/>
    <w:rsid w:val="00B055D7"/>
    <w:rsid w:val="00B0777D"/>
    <w:rsid w:val="00B07DDF"/>
    <w:rsid w:val="00B11576"/>
    <w:rsid w:val="00B1195F"/>
    <w:rsid w:val="00B13E8A"/>
    <w:rsid w:val="00B14D10"/>
    <w:rsid w:val="00B16F21"/>
    <w:rsid w:val="00B201E3"/>
    <w:rsid w:val="00B209C7"/>
    <w:rsid w:val="00B26480"/>
    <w:rsid w:val="00B26FB9"/>
    <w:rsid w:val="00B3385A"/>
    <w:rsid w:val="00B362FF"/>
    <w:rsid w:val="00B3644F"/>
    <w:rsid w:val="00B36C55"/>
    <w:rsid w:val="00B4057A"/>
    <w:rsid w:val="00B40894"/>
    <w:rsid w:val="00B41039"/>
    <w:rsid w:val="00B41F37"/>
    <w:rsid w:val="00B42987"/>
    <w:rsid w:val="00B42DF9"/>
    <w:rsid w:val="00B43C04"/>
    <w:rsid w:val="00B444AE"/>
    <w:rsid w:val="00B44E6F"/>
    <w:rsid w:val="00B45139"/>
    <w:rsid w:val="00B45E75"/>
    <w:rsid w:val="00B50876"/>
    <w:rsid w:val="00B50C55"/>
    <w:rsid w:val="00B51074"/>
    <w:rsid w:val="00B52E68"/>
    <w:rsid w:val="00B54DAA"/>
    <w:rsid w:val="00B552E0"/>
    <w:rsid w:val="00B558EA"/>
    <w:rsid w:val="00B55AB0"/>
    <w:rsid w:val="00B55EE5"/>
    <w:rsid w:val="00B571BD"/>
    <w:rsid w:val="00B61D42"/>
    <w:rsid w:val="00B6340F"/>
    <w:rsid w:val="00B66E64"/>
    <w:rsid w:val="00B67A43"/>
    <w:rsid w:val="00B67F9F"/>
    <w:rsid w:val="00B71D1F"/>
    <w:rsid w:val="00B722DD"/>
    <w:rsid w:val="00B72B25"/>
    <w:rsid w:val="00B72CFF"/>
    <w:rsid w:val="00B73DE6"/>
    <w:rsid w:val="00B74A8F"/>
    <w:rsid w:val="00B761CD"/>
    <w:rsid w:val="00B76B66"/>
    <w:rsid w:val="00B836B5"/>
    <w:rsid w:val="00B84241"/>
    <w:rsid w:val="00B866E4"/>
    <w:rsid w:val="00B86EF0"/>
    <w:rsid w:val="00B94836"/>
    <w:rsid w:val="00B95989"/>
    <w:rsid w:val="00B96969"/>
    <w:rsid w:val="00B97900"/>
    <w:rsid w:val="00BA1229"/>
    <w:rsid w:val="00BA3398"/>
    <w:rsid w:val="00BA44A8"/>
    <w:rsid w:val="00BA49C5"/>
    <w:rsid w:val="00BA54E0"/>
    <w:rsid w:val="00BA6B0F"/>
    <w:rsid w:val="00BA6CA0"/>
    <w:rsid w:val="00BA74C7"/>
    <w:rsid w:val="00BA783C"/>
    <w:rsid w:val="00BB0182"/>
    <w:rsid w:val="00BB16AB"/>
    <w:rsid w:val="00BB28E0"/>
    <w:rsid w:val="00BB2F4A"/>
    <w:rsid w:val="00BB637C"/>
    <w:rsid w:val="00BC003A"/>
    <w:rsid w:val="00BC1006"/>
    <w:rsid w:val="00BC34C5"/>
    <w:rsid w:val="00BC786E"/>
    <w:rsid w:val="00BD280F"/>
    <w:rsid w:val="00BD417A"/>
    <w:rsid w:val="00BD5C92"/>
    <w:rsid w:val="00BE157F"/>
    <w:rsid w:val="00BE50E6"/>
    <w:rsid w:val="00BE7313"/>
    <w:rsid w:val="00BE7A0C"/>
    <w:rsid w:val="00BF2928"/>
    <w:rsid w:val="00BF3935"/>
    <w:rsid w:val="00BF5434"/>
    <w:rsid w:val="00BF5D60"/>
    <w:rsid w:val="00BF6691"/>
    <w:rsid w:val="00C0016B"/>
    <w:rsid w:val="00C028F9"/>
    <w:rsid w:val="00C028FC"/>
    <w:rsid w:val="00C037F2"/>
    <w:rsid w:val="00C0386D"/>
    <w:rsid w:val="00C065A1"/>
    <w:rsid w:val="00C06FB1"/>
    <w:rsid w:val="00C10ED5"/>
    <w:rsid w:val="00C10FA1"/>
    <w:rsid w:val="00C12574"/>
    <w:rsid w:val="00C12CB3"/>
    <w:rsid w:val="00C151A6"/>
    <w:rsid w:val="00C24098"/>
    <w:rsid w:val="00C2571F"/>
    <w:rsid w:val="00C30A4E"/>
    <w:rsid w:val="00C32B2E"/>
    <w:rsid w:val="00C32F05"/>
    <w:rsid w:val="00C33EDC"/>
    <w:rsid w:val="00C341DB"/>
    <w:rsid w:val="00C3483B"/>
    <w:rsid w:val="00C35F08"/>
    <w:rsid w:val="00C3641C"/>
    <w:rsid w:val="00C411F3"/>
    <w:rsid w:val="00C44105"/>
    <w:rsid w:val="00C44B31"/>
    <w:rsid w:val="00C45AEB"/>
    <w:rsid w:val="00C45F0A"/>
    <w:rsid w:val="00C51AE2"/>
    <w:rsid w:val="00C52004"/>
    <w:rsid w:val="00C523EC"/>
    <w:rsid w:val="00C55A33"/>
    <w:rsid w:val="00C563A9"/>
    <w:rsid w:val="00C576F5"/>
    <w:rsid w:val="00C62191"/>
    <w:rsid w:val="00C62755"/>
    <w:rsid w:val="00C63534"/>
    <w:rsid w:val="00C64D49"/>
    <w:rsid w:val="00C64F46"/>
    <w:rsid w:val="00C65989"/>
    <w:rsid w:val="00C65D39"/>
    <w:rsid w:val="00C66692"/>
    <w:rsid w:val="00C66849"/>
    <w:rsid w:val="00C673B5"/>
    <w:rsid w:val="00C7063D"/>
    <w:rsid w:val="00C707CD"/>
    <w:rsid w:val="00C70C65"/>
    <w:rsid w:val="00C71A26"/>
    <w:rsid w:val="00C72339"/>
    <w:rsid w:val="00C72C53"/>
    <w:rsid w:val="00C746ED"/>
    <w:rsid w:val="00C760DE"/>
    <w:rsid w:val="00C805FC"/>
    <w:rsid w:val="00C80A13"/>
    <w:rsid w:val="00C820BC"/>
    <w:rsid w:val="00C82247"/>
    <w:rsid w:val="00C830BC"/>
    <w:rsid w:val="00C8524D"/>
    <w:rsid w:val="00C86E75"/>
    <w:rsid w:val="00C908C1"/>
    <w:rsid w:val="00C90904"/>
    <w:rsid w:val="00C91123"/>
    <w:rsid w:val="00C93269"/>
    <w:rsid w:val="00C939B2"/>
    <w:rsid w:val="00C944D7"/>
    <w:rsid w:val="00C94B66"/>
    <w:rsid w:val="00C96CB0"/>
    <w:rsid w:val="00C97340"/>
    <w:rsid w:val="00CA1595"/>
    <w:rsid w:val="00CA21C4"/>
    <w:rsid w:val="00CA3BBB"/>
    <w:rsid w:val="00CA4251"/>
    <w:rsid w:val="00CA531C"/>
    <w:rsid w:val="00CA5A17"/>
    <w:rsid w:val="00CA5C68"/>
    <w:rsid w:val="00CA5DBF"/>
    <w:rsid w:val="00CA6BBB"/>
    <w:rsid w:val="00CA6CC2"/>
    <w:rsid w:val="00CA71FF"/>
    <w:rsid w:val="00CB1236"/>
    <w:rsid w:val="00CB2393"/>
    <w:rsid w:val="00CB2456"/>
    <w:rsid w:val="00CB459B"/>
    <w:rsid w:val="00CB5276"/>
    <w:rsid w:val="00CB5BFC"/>
    <w:rsid w:val="00CB68D7"/>
    <w:rsid w:val="00CB785B"/>
    <w:rsid w:val="00CB7BD8"/>
    <w:rsid w:val="00CC07CF"/>
    <w:rsid w:val="00CC1349"/>
    <w:rsid w:val="00CC1403"/>
    <w:rsid w:val="00CC24CC"/>
    <w:rsid w:val="00CC3F27"/>
    <w:rsid w:val="00CC5B95"/>
    <w:rsid w:val="00CC7E68"/>
    <w:rsid w:val="00CC7EB8"/>
    <w:rsid w:val="00CD0F05"/>
    <w:rsid w:val="00CD10B2"/>
    <w:rsid w:val="00CD15D5"/>
    <w:rsid w:val="00CD19D5"/>
    <w:rsid w:val="00CD3D3D"/>
    <w:rsid w:val="00CD3D74"/>
    <w:rsid w:val="00CD6F31"/>
    <w:rsid w:val="00CD7132"/>
    <w:rsid w:val="00CD73E0"/>
    <w:rsid w:val="00CE0D23"/>
    <w:rsid w:val="00CE0E6F"/>
    <w:rsid w:val="00CE36BA"/>
    <w:rsid w:val="00CE3B21"/>
    <w:rsid w:val="00CE4AFF"/>
    <w:rsid w:val="00CE56FC"/>
    <w:rsid w:val="00CE6C99"/>
    <w:rsid w:val="00CE6EBC"/>
    <w:rsid w:val="00CE7132"/>
    <w:rsid w:val="00CE7A4D"/>
    <w:rsid w:val="00CF32D2"/>
    <w:rsid w:val="00CF4CFE"/>
    <w:rsid w:val="00CF55E6"/>
    <w:rsid w:val="00D00E8E"/>
    <w:rsid w:val="00D01B75"/>
    <w:rsid w:val="00D02E0F"/>
    <w:rsid w:val="00D02F79"/>
    <w:rsid w:val="00D03AB8"/>
    <w:rsid w:val="00D03EE8"/>
    <w:rsid w:val="00D03F31"/>
    <w:rsid w:val="00D10250"/>
    <w:rsid w:val="00D13400"/>
    <w:rsid w:val="00D13535"/>
    <w:rsid w:val="00D1476E"/>
    <w:rsid w:val="00D15497"/>
    <w:rsid w:val="00D1558E"/>
    <w:rsid w:val="00D17B79"/>
    <w:rsid w:val="00D205F5"/>
    <w:rsid w:val="00D2247A"/>
    <w:rsid w:val="00D23D2F"/>
    <w:rsid w:val="00D23FEA"/>
    <w:rsid w:val="00D269CA"/>
    <w:rsid w:val="00D30B48"/>
    <w:rsid w:val="00D3168A"/>
    <w:rsid w:val="00D3213F"/>
    <w:rsid w:val="00D350D1"/>
    <w:rsid w:val="00D351A2"/>
    <w:rsid w:val="00D40481"/>
    <w:rsid w:val="00D45225"/>
    <w:rsid w:val="00D46FAA"/>
    <w:rsid w:val="00D478D3"/>
    <w:rsid w:val="00D47A40"/>
    <w:rsid w:val="00D51985"/>
    <w:rsid w:val="00D51D33"/>
    <w:rsid w:val="00D53E53"/>
    <w:rsid w:val="00D55C53"/>
    <w:rsid w:val="00D57132"/>
    <w:rsid w:val="00D57BB2"/>
    <w:rsid w:val="00D57E57"/>
    <w:rsid w:val="00D60B38"/>
    <w:rsid w:val="00D611DF"/>
    <w:rsid w:val="00D626AE"/>
    <w:rsid w:val="00D65405"/>
    <w:rsid w:val="00D70752"/>
    <w:rsid w:val="00D72309"/>
    <w:rsid w:val="00D80E2D"/>
    <w:rsid w:val="00D824A6"/>
    <w:rsid w:val="00D82B6A"/>
    <w:rsid w:val="00D84D5E"/>
    <w:rsid w:val="00D853C2"/>
    <w:rsid w:val="00D8560E"/>
    <w:rsid w:val="00D8758F"/>
    <w:rsid w:val="00D91617"/>
    <w:rsid w:val="00DA0B0F"/>
    <w:rsid w:val="00DA4EDD"/>
    <w:rsid w:val="00DA6686"/>
    <w:rsid w:val="00DA6B78"/>
    <w:rsid w:val="00DB0671"/>
    <w:rsid w:val="00DB122B"/>
    <w:rsid w:val="00DB5B3C"/>
    <w:rsid w:val="00DC1D94"/>
    <w:rsid w:val="00DC42CF"/>
    <w:rsid w:val="00DC4758"/>
    <w:rsid w:val="00DC4D2A"/>
    <w:rsid w:val="00DC5334"/>
    <w:rsid w:val="00DC6191"/>
    <w:rsid w:val="00DC738A"/>
    <w:rsid w:val="00DC77A2"/>
    <w:rsid w:val="00DD0637"/>
    <w:rsid w:val="00DD2B10"/>
    <w:rsid w:val="00DD382A"/>
    <w:rsid w:val="00DD592E"/>
    <w:rsid w:val="00DD6F55"/>
    <w:rsid w:val="00DE057F"/>
    <w:rsid w:val="00DE05D1"/>
    <w:rsid w:val="00DE10C2"/>
    <w:rsid w:val="00DE2082"/>
    <w:rsid w:val="00DE2289"/>
    <w:rsid w:val="00DE499C"/>
    <w:rsid w:val="00DE69DB"/>
    <w:rsid w:val="00DF09A7"/>
    <w:rsid w:val="00DF0DE8"/>
    <w:rsid w:val="00DF0F4C"/>
    <w:rsid w:val="00DF2B51"/>
    <w:rsid w:val="00DF6D28"/>
    <w:rsid w:val="00E001D6"/>
    <w:rsid w:val="00E00897"/>
    <w:rsid w:val="00E00CF3"/>
    <w:rsid w:val="00E01BDA"/>
    <w:rsid w:val="00E03A76"/>
    <w:rsid w:val="00E04410"/>
    <w:rsid w:val="00E0528D"/>
    <w:rsid w:val="00E07484"/>
    <w:rsid w:val="00E11351"/>
    <w:rsid w:val="00E114ED"/>
    <w:rsid w:val="00E13127"/>
    <w:rsid w:val="00E1436F"/>
    <w:rsid w:val="00E144FE"/>
    <w:rsid w:val="00E178BE"/>
    <w:rsid w:val="00E17915"/>
    <w:rsid w:val="00E2047E"/>
    <w:rsid w:val="00E2114D"/>
    <w:rsid w:val="00E30D31"/>
    <w:rsid w:val="00E31A14"/>
    <w:rsid w:val="00E33F44"/>
    <w:rsid w:val="00E35205"/>
    <w:rsid w:val="00E37D48"/>
    <w:rsid w:val="00E40D07"/>
    <w:rsid w:val="00E41984"/>
    <w:rsid w:val="00E41FF0"/>
    <w:rsid w:val="00E4225C"/>
    <w:rsid w:val="00E44879"/>
    <w:rsid w:val="00E45C95"/>
    <w:rsid w:val="00E47002"/>
    <w:rsid w:val="00E52DE3"/>
    <w:rsid w:val="00E61530"/>
    <w:rsid w:val="00E67A96"/>
    <w:rsid w:val="00E714BE"/>
    <w:rsid w:val="00E71EEA"/>
    <w:rsid w:val="00E72914"/>
    <w:rsid w:val="00E75AE0"/>
    <w:rsid w:val="00E76B61"/>
    <w:rsid w:val="00E819BD"/>
    <w:rsid w:val="00E83C1F"/>
    <w:rsid w:val="00E85684"/>
    <w:rsid w:val="00E86008"/>
    <w:rsid w:val="00E868F8"/>
    <w:rsid w:val="00E8794B"/>
    <w:rsid w:val="00E87B8B"/>
    <w:rsid w:val="00E91CC2"/>
    <w:rsid w:val="00E947F6"/>
    <w:rsid w:val="00E95DF2"/>
    <w:rsid w:val="00E970D8"/>
    <w:rsid w:val="00E97656"/>
    <w:rsid w:val="00E97743"/>
    <w:rsid w:val="00EA004A"/>
    <w:rsid w:val="00EA172C"/>
    <w:rsid w:val="00EA2134"/>
    <w:rsid w:val="00EA259B"/>
    <w:rsid w:val="00EA2AB1"/>
    <w:rsid w:val="00EA35A3"/>
    <w:rsid w:val="00EA3E6A"/>
    <w:rsid w:val="00EA4860"/>
    <w:rsid w:val="00EA50D3"/>
    <w:rsid w:val="00EA54AB"/>
    <w:rsid w:val="00EA69CF"/>
    <w:rsid w:val="00EB0209"/>
    <w:rsid w:val="00EB0B22"/>
    <w:rsid w:val="00EB18EF"/>
    <w:rsid w:val="00EB2D66"/>
    <w:rsid w:val="00EB429F"/>
    <w:rsid w:val="00EB58F4"/>
    <w:rsid w:val="00EB6A97"/>
    <w:rsid w:val="00EB7951"/>
    <w:rsid w:val="00EB7C9A"/>
    <w:rsid w:val="00EC2BC5"/>
    <w:rsid w:val="00EC60F6"/>
    <w:rsid w:val="00ED1ED6"/>
    <w:rsid w:val="00ED2D15"/>
    <w:rsid w:val="00ED2F63"/>
    <w:rsid w:val="00ED3114"/>
    <w:rsid w:val="00ED6A79"/>
    <w:rsid w:val="00EE17DF"/>
    <w:rsid w:val="00EE496F"/>
    <w:rsid w:val="00EE4E0C"/>
    <w:rsid w:val="00EE63E7"/>
    <w:rsid w:val="00EF0B26"/>
    <w:rsid w:val="00EF1482"/>
    <w:rsid w:val="00EF4621"/>
    <w:rsid w:val="00EF4D52"/>
    <w:rsid w:val="00EF6312"/>
    <w:rsid w:val="00EF6AC4"/>
    <w:rsid w:val="00EF780B"/>
    <w:rsid w:val="00F00C4B"/>
    <w:rsid w:val="00F012BA"/>
    <w:rsid w:val="00F01A56"/>
    <w:rsid w:val="00F03024"/>
    <w:rsid w:val="00F038B0"/>
    <w:rsid w:val="00F041D0"/>
    <w:rsid w:val="00F05F34"/>
    <w:rsid w:val="00F11464"/>
    <w:rsid w:val="00F13F10"/>
    <w:rsid w:val="00F13F8F"/>
    <w:rsid w:val="00F2190E"/>
    <w:rsid w:val="00F22B27"/>
    <w:rsid w:val="00F22BB7"/>
    <w:rsid w:val="00F22D13"/>
    <w:rsid w:val="00F23227"/>
    <w:rsid w:val="00F234A7"/>
    <w:rsid w:val="00F24CEE"/>
    <w:rsid w:val="00F24D96"/>
    <w:rsid w:val="00F260B4"/>
    <w:rsid w:val="00F277B6"/>
    <w:rsid w:val="00F27DA5"/>
    <w:rsid w:val="00F3433D"/>
    <w:rsid w:val="00F3531B"/>
    <w:rsid w:val="00F3774E"/>
    <w:rsid w:val="00F37E07"/>
    <w:rsid w:val="00F4073E"/>
    <w:rsid w:val="00F40EF3"/>
    <w:rsid w:val="00F413C4"/>
    <w:rsid w:val="00F4182A"/>
    <w:rsid w:val="00F41C22"/>
    <w:rsid w:val="00F420B3"/>
    <w:rsid w:val="00F449C6"/>
    <w:rsid w:val="00F464ED"/>
    <w:rsid w:val="00F54380"/>
    <w:rsid w:val="00F54845"/>
    <w:rsid w:val="00F54B47"/>
    <w:rsid w:val="00F5538C"/>
    <w:rsid w:val="00F61247"/>
    <w:rsid w:val="00F6143C"/>
    <w:rsid w:val="00F61F0F"/>
    <w:rsid w:val="00F61F61"/>
    <w:rsid w:val="00F63191"/>
    <w:rsid w:val="00F6702E"/>
    <w:rsid w:val="00F7033A"/>
    <w:rsid w:val="00F70E84"/>
    <w:rsid w:val="00F80685"/>
    <w:rsid w:val="00F83F4C"/>
    <w:rsid w:val="00F86C2F"/>
    <w:rsid w:val="00F90D58"/>
    <w:rsid w:val="00F910B3"/>
    <w:rsid w:val="00F9218A"/>
    <w:rsid w:val="00F94968"/>
    <w:rsid w:val="00FA092B"/>
    <w:rsid w:val="00FA4F6C"/>
    <w:rsid w:val="00FA6682"/>
    <w:rsid w:val="00FA6EFD"/>
    <w:rsid w:val="00FB0AD7"/>
    <w:rsid w:val="00FB2A8E"/>
    <w:rsid w:val="00FB3791"/>
    <w:rsid w:val="00FB43FD"/>
    <w:rsid w:val="00FB4C37"/>
    <w:rsid w:val="00FB5820"/>
    <w:rsid w:val="00FB6780"/>
    <w:rsid w:val="00FB6D32"/>
    <w:rsid w:val="00FB74EA"/>
    <w:rsid w:val="00FC0096"/>
    <w:rsid w:val="00FC1262"/>
    <w:rsid w:val="00FC6E0D"/>
    <w:rsid w:val="00FC79C3"/>
    <w:rsid w:val="00FD0ADB"/>
    <w:rsid w:val="00FD1424"/>
    <w:rsid w:val="00FD1C69"/>
    <w:rsid w:val="00FD2C9E"/>
    <w:rsid w:val="00FD334A"/>
    <w:rsid w:val="00FD43A6"/>
    <w:rsid w:val="00FD4786"/>
    <w:rsid w:val="00FD616C"/>
    <w:rsid w:val="00FD7C08"/>
    <w:rsid w:val="00FE0863"/>
    <w:rsid w:val="00FE417F"/>
    <w:rsid w:val="00FE4BA2"/>
    <w:rsid w:val="00FE4E89"/>
    <w:rsid w:val="00FE53F2"/>
    <w:rsid w:val="00FE6FBD"/>
    <w:rsid w:val="00FF0A00"/>
    <w:rsid w:val="00FF1441"/>
    <w:rsid w:val="00FF1C57"/>
    <w:rsid w:val="00FF1D0E"/>
    <w:rsid w:val="00FF1E62"/>
    <w:rsid w:val="00FF2581"/>
    <w:rsid w:val="00FF259F"/>
    <w:rsid w:val="00FF30FA"/>
    <w:rsid w:val="00FF5A66"/>
    <w:rsid w:val="00FF71D5"/>
    <w:rsid w:val="00FF7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4:docId w14:val="4141C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rsid w:val="00CD7132"/>
    <w:rPr>
      <w:vertAlign w:val="superscript"/>
    </w:rPr>
  </w:style>
  <w:style w:type="paragraph" w:styleId="FootnoteText">
    <w:name w:val="footnote text"/>
    <w:basedOn w:val="Normal"/>
    <w:link w:val="FootnoteTextChar"/>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rsid w:val="002B3379"/>
  </w:style>
  <w:style w:type="paragraph" w:styleId="ListParagraph">
    <w:name w:val="List Paragraph"/>
    <w:basedOn w:val="Normal"/>
    <w:uiPriority w:val="34"/>
    <w:qFormat/>
    <w:rsid w:val="002B3379"/>
    <w:pPr>
      <w:ind w:left="720"/>
      <w:contextualSpacing/>
    </w:pPr>
  </w:style>
  <w:style w:type="character" w:styleId="CommentReference">
    <w:name w:val="annotation reference"/>
    <w:basedOn w:val="DefaultParagraphFont"/>
    <w:semiHidden/>
    <w:unhideWhenUsed/>
    <w:rsid w:val="00E47002"/>
    <w:rPr>
      <w:sz w:val="16"/>
      <w:szCs w:val="16"/>
    </w:rPr>
  </w:style>
  <w:style w:type="paragraph" w:styleId="CommentText">
    <w:name w:val="annotation text"/>
    <w:basedOn w:val="Normal"/>
    <w:link w:val="CommentTextChar"/>
    <w:semiHidden/>
    <w:unhideWhenUsed/>
    <w:rsid w:val="00E47002"/>
    <w:rPr>
      <w:sz w:val="20"/>
      <w:szCs w:val="20"/>
    </w:rPr>
  </w:style>
  <w:style w:type="character" w:customStyle="1" w:styleId="CommentTextChar">
    <w:name w:val="Comment Text Char"/>
    <w:basedOn w:val="DefaultParagraphFont"/>
    <w:link w:val="CommentText"/>
    <w:semiHidden/>
    <w:rsid w:val="00E47002"/>
  </w:style>
  <w:style w:type="paragraph" w:styleId="CommentSubject">
    <w:name w:val="annotation subject"/>
    <w:basedOn w:val="CommentText"/>
    <w:next w:val="CommentText"/>
    <w:link w:val="CommentSubjectChar"/>
    <w:semiHidden/>
    <w:unhideWhenUsed/>
    <w:rsid w:val="00E47002"/>
    <w:rPr>
      <w:b/>
      <w:bCs/>
    </w:rPr>
  </w:style>
  <w:style w:type="character" w:customStyle="1" w:styleId="CommentSubjectChar">
    <w:name w:val="Comment Subject Char"/>
    <w:basedOn w:val="CommentTextChar"/>
    <w:link w:val="CommentSubject"/>
    <w:semiHidden/>
    <w:rsid w:val="00E47002"/>
    <w:rPr>
      <w:b/>
      <w:bCs/>
    </w:rPr>
  </w:style>
  <w:style w:type="paragraph" w:styleId="BalloonText">
    <w:name w:val="Balloon Text"/>
    <w:basedOn w:val="Normal"/>
    <w:link w:val="BalloonTextChar"/>
    <w:semiHidden/>
    <w:unhideWhenUsed/>
    <w:rsid w:val="00E47002"/>
    <w:rPr>
      <w:rFonts w:ascii="Segoe UI" w:hAnsi="Segoe UI" w:cs="Segoe UI"/>
      <w:sz w:val="18"/>
      <w:szCs w:val="18"/>
    </w:rPr>
  </w:style>
  <w:style w:type="character" w:customStyle="1" w:styleId="BalloonTextChar">
    <w:name w:val="Balloon Text Char"/>
    <w:basedOn w:val="DefaultParagraphFont"/>
    <w:link w:val="BalloonText"/>
    <w:semiHidden/>
    <w:rsid w:val="00E47002"/>
    <w:rPr>
      <w:rFonts w:ascii="Segoe UI" w:hAnsi="Segoe UI" w:cs="Segoe UI"/>
      <w:sz w:val="18"/>
      <w:szCs w:val="18"/>
    </w:rPr>
  </w:style>
  <w:style w:type="paragraph" w:styleId="Revision">
    <w:name w:val="Revision"/>
    <w:hidden/>
    <w:uiPriority w:val="99"/>
    <w:semiHidden/>
    <w:rsid w:val="001B1A18"/>
    <w:rPr>
      <w:sz w:val="24"/>
      <w:szCs w:val="24"/>
    </w:rPr>
  </w:style>
  <w:style w:type="paragraph" w:styleId="EndnoteText">
    <w:name w:val="endnote text"/>
    <w:basedOn w:val="Normal"/>
    <w:link w:val="EndnoteTextChar"/>
    <w:semiHidden/>
    <w:unhideWhenUsed/>
    <w:rsid w:val="00D351A2"/>
    <w:rPr>
      <w:sz w:val="20"/>
      <w:szCs w:val="20"/>
    </w:rPr>
  </w:style>
  <w:style w:type="character" w:customStyle="1" w:styleId="EndnoteTextChar">
    <w:name w:val="Endnote Text Char"/>
    <w:basedOn w:val="DefaultParagraphFont"/>
    <w:link w:val="EndnoteText"/>
    <w:semiHidden/>
    <w:rsid w:val="00D351A2"/>
  </w:style>
  <w:style w:type="character" w:styleId="EndnoteReference">
    <w:name w:val="endnote reference"/>
    <w:basedOn w:val="DefaultParagraphFont"/>
    <w:semiHidden/>
    <w:unhideWhenUsed/>
    <w:rsid w:val="00D351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715816170">
      <w:bodyDiv w:val="1"/>
      <w:marLeft w:val="0"/>
      <w:marRight w:val="0"/>
      <w:marTop w:val="0"/>
      <w:marBottom w:val="0"/>
      <w:divBdr>
        <w:top w:val="none" w:sz="0" w:space="0" w:color="auto"/>
        <w:left w:val="none" w:sz="0" w:space="0" w:color="auto"/>
        <w:bottom w:val="none" w:sz="0" w:space="0" w:color="auto"/>
        <w:right w:val="none" w:sz="0" w:space="0" w:color="auto"/>
      </w:divBdr>
    </w:div>
    <w:div w:id="794178498">
      <w:bodyDiv w:val="1"/>
      <w:marLeft w:val="0"/>
      <w:marRight w:val="0"/>
      <w:marTop w:val="0"/>
      <w:marBottom w:val="0"/>
      <w:divBdr>
        <w:top w:val="none" w:sz="0" w:space="0" w:color="auto"/>
        <w:left w:val="none" w:sz="0" w:space="0" w:color="auto"/>
        <w:bottom w:val="none" w:sz="0" w:space="0" w:color="auto"/>
        <w:right w:val="none" w:sz="0" w:space="0" w:color="auto"/>
      </w:divBdr>
    </w:div>
    <w:div w:id="1307273219">
      <w:bodyDiv w:val="1"/>
      <w:marLeft w:val="0"/>
      <w:marRight w:val="0"/>
      <w:marTop w:val="0"/>
      <w:marBottom w:val="0"/>
      <w:divBdr>
        <w:top w:val="none" w:sz="0" w:space="0" w:color="auto"/>
        <w:left w:val="none" w:sz="0" w:space="0" w:color="auto"/>
        <w:bottom w:val="none" w:sz="0" w:space="0" w:color="auto"/>
        <w:right w:val="none" w:sz="0" w:space="0" w:color="auto"/>
      </w:divBdr>
    </w:div>
    <w:div w:id="1378050635">
      <w:bodyDiv w:val="1"/>
      <w:marLeft w:val="0"/>
      <w:marRight w:val="0"/>
      <w:marTop w:val="0"/>
      <w:marBottom w:val="0"/>
      <w:divBdr>
        <w:top w:val="none" w:sz="0" w:space="0" w:color="auto"/>
        <w:left w:val="none" w:sz="0" w:space="0" w:color="auto"/>
        <w:bottom w:val="none" w:sz="0" w:space="0" w:color="auto"/>
        <w:right w:val="none" w:sz="0" w:space="0" w:color="auto"/>
      </w:divBdr>
    </w:div>
    <w:div w:id="1519467041">
      <w:bodyDiv w:val="1"/>
      <w:marLeft w:val="0"/>
      <w:marRight w:val="0"/>
      <w:marTop w:val="0"/>
      <w:marBottom w:val="0"/>
      <w:divBdr>
        <w:top w:val="none" w:sz="0" w:space="0" w:color="auto"/>
        <w:left w:val="none" w:sz="0" w:space="0" w:color="auto"/>
        <w:bottom w:val="none" w:sz="0" w:space="0" w:color="auto"/>
        <w:right w:val="none" w:sz="0" w:space="0" w:color="auto"/>
      </w:divBdr>
    </w:div>
    <w:div w:id="1733432110">
      <w:bodyDiv w:val="1"/>
      <w:marLeft w:val="0"/>
      <w:marRight w:val="0"/>
      <w:marTop w:val="0"/>
      <w:marBottom w:val="0"/>
      <w:divBdr>
        <w:top w:val="none" w:sz="0" w:space="0" w:color="auto"/>
        <w:left w:val="none" w:sz="0" w:space="0" w:color="auto"/>
        <w:bottom w:val="none" w:sz="0" w:space="0" w:color="auto"/>
        <w:right w:val="none" w:sz="0" w:space="0" w:color="auto"/>
      </w:divBdr>
    </w:div>
    <w:div w:id="188136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EF084-F8E1-4A53-8C82-B3D91578B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11</Pages>
  <Words>4424</Words>
  <Characters>25222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2026-06-01T14:37:00Z</dcterms:created>
  <dcterms:modified xsi:type="dcterms:W3CDTF">2026-06-01T15:48:00Z</dcterms:modified>
</cp:coreProperties>
</file>