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8928E" w14:textId="77777777" w:rsidR="004F0D29" w:rsidRDefault="004F0D29" w:rsidP="004F0D29">
      <w:pPr>
        <w:pStyle w:val="OrderHeading"/>
      </w:pPr>
      <w:r>
        <w:t>BEFORE THE FLORIDA PUBLIC SERVICE COMMISSION</w:t>
      </w:r>
    </w:p>
    <w:p w14:paraId="3F23B185" w14:textId="77777777" w:rsidR="004F0D29" w:rsidRDefault="004F0D29" w:rsidP="004F0D29">
      <w:pPr>
        <w:pStyle w:val="OrderBody"/>
      </w:pPr>
    </w:p>
    <w:p w14:paraId="5149FB16" w14:textId="77777777" w:rsidR="004F0D29" w:rsidRDefault="004F0D29" w:rsidP="004F0D2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F0D29" w:rsidRPr="00C63FCF" w14:paraId="39D7F391" w14:textId="77777777" w:rsidTr="00C63FCF">
        <w:trPr>
          <w:trHeight w:val="828"/>
        </w:trPr>
        <w:tc>
          <w:tcPr>
            <w:tcW w:w="4788" w:type="dxa"/>
            <w:tcBorders>
              <w:bottom w:val="single" w:sz="8" w:space="0" w:color="auto"/>
              <w:right w:val="double" w:sz="6" w:space="0" w:color="auto"/>
            </w:tcBorders>
            <w:shd w:val="clear" w:color="auto" w:fill="auto"/>
          </w:tcPr>
          <w:p w14:paraId="1E326C96" w14:textId="5627FE80" w:rsidR="004F0D29" w:rsidRDefault="004F0D29"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0F7C780F" w14:textId="575B644B" w:rsidR="004F0D29" w:rsidRDefault="004F0D29" w:rsidP="004F0D29">
            <w:pPr>
              <w:pStyle w:val="OrderBody"/>
            </w:pPr>
            <w:r>
              <w:t xml:space="preserve">DOCKET NO. </w:t>
            </w:r>
            <w:bookmarkStart w:id="1" w:name="SSDocketNo"/>
            <w:bookmarkEnd w:id="1"/>
            <w:r>
              <w:t>20260064-EI</w:t>
            </w:r>
          </w:p>
          <w:p w14:paraId="35168874" w14:textId="4C8F9063" w:rsidR="004F0D29" w:rsidRDefault="004F0D29" w:rsidP="00C63FCF">
            <w:pPr>
              <w:pStyle w:val="OrderBody"/>
              <w:tabs>
                <w:tab w:val="center" w:pos="4320"/>
                <w:tab w:val="right" w:pos="8640"/>
              </w:tabs>
              <w:jc w:val="left"/>
            </w:pPr>
            <w:r>
              <w:t xml:space="preserve">ORDER NO. </w:t>
            </w:r>
            <w:bookmarkStart w:id="2" w:name="OrderNo0253"/>
            <w:r w:rsidR="001A217D">
              <w:t>PSC-2026-0253-PCO-EI</w:t>
            </w:r>
            <w:bookmarkEnd w:id="2"/>
          </w:p>
          <w:p w14:paraId="3C7D9C0A" w14:textId="3AA30FFD" w:rsidR="004F0D29" w:rsidRDefault="004F0D29" w:rsidP="00C63FCF">
            <w:pPr>
              <w:pStyle w:val="OrderBody"/>
              <w:tabs>
                <w:tab w:val="center" w:pos="4320"/>
                <w:tab w:val="right" w:pos="8640"/>
              </w:tabs>
              <w:jc w:val="left"/>
            </w:pPr>
            <w:r>
              <w:t xml:space="preserve">ISSUED: </w:t>
            </w:r>
            <w:r w:rsidR="001A217D">
              <w:t>July 17, 2026</w:t>
            </w:r>
          </w:p>
        </w:tc>
      </w:tr>
    </w:tbl>
    <w:p w14:paraId="3B055203" w14:textId="77777777" w:rsidR="004F0D29" w:rsidRDefault="004F0D29" w:rsidP="004F0D29"/>
    <w:p w14:paraId="5AECA1A9" w14:textId="2CA7C38A" w:rsidR="00CB5276" w:rsidRDefault="00D611DF" w:rsidP="004F0D29">
      <w:r>
        <w:t xml:space="preserve"> </w:t>
      </w:r>
    </w:p>
    <w:p w14:paraId="6D8BD674" w14:textId="77777777" w:rsidR="004F0D29" w:rsidRDefault="004F0D29" w:rsidP="004F0D29">
      <w:pPr>
        <w:pStyle w:val="CenterUnderline"/>
      </w:pPr>
      <w:bookmarkStart w:id="3" w:name="Commissioners"/>
      <w:bookmarkEnd w:id="3"/>
      <w:r>
        <w:t>ORDER</w:t>
      </w:r>
      <w:bookmarkStart w:id="4" w:name="OrderTitle"/>
      <w:r>
        <w:t xml:space="preserve"> DENYING DUKE ENERGY FLORIDA, LLC’S MOTION TO </w:t>
      </w:r>
    </w:p>
    <w:p w14:paraId="4302AD3B" w14:textId="0FDEB329" w:rsidR="00CB5276" w:rsidRDefault="004F0D29" w:rsidP="004F0D29">
      <w:pPr>
        <w:pStyle w:val="CenterUnderline"/>
      </w:pPr>
      <w:r>
        <w:t xml:space="preserve">STRIKE FLORIDA RISING, INC. AS AN INTERVENING PARTY </w:t>
      </w:r>
      <w:bookmarkEnd w:id="4"/>
    </w:p>
    <w:p w14:paraId="49574BFF" w14:textId="77777777" w:rsidR="004F0D29" w:rsidRDefault="004F0D29" w:rsidP="004F0D29">
      <w:pPr>
        <w:pStyle w:val="CenterUnderline"/>
      </w:pPr>
    </w:p>
    <w:p w14:paraId="712B0D7A" w14:textId="600A165B" w:rsidR="004F0D29" w:rsidRPr="004F0D29" w:rsidRDefault="00C85463" w:rsidP="00C85463">
      <w:pPr>
        <w:pStyle w:val="CenterUnderline"/>
        <w:ind w:firstLine="720"/>
        <w:jc w:val="both"/>
        <w:rPr>
          <w:bCs/>
          <w:u w:val="none"/>
        </w:rPr>
      </w:pPr>
      <w:r w:rsidRPr="00C85463">
        <w:rPr>
          <w:bCs/>
          <w:u w:val="none"/>
        </w:rPr>
        <w:t>On April 22, 2026, Duke Energy Florida, LLC (DEF or Utility) filed a petition for a limited proceeding seeking approval of a new Large Load Customer Policy (LLCP), a Large Load Customer Agreement (LLCA), and revised Contribution in Aid of Construction (CIAC) tariffs. DEF states that this filing complies with newly passed state legislation, Senate Bill 484 (SB 484).</w:t>
      </w:r>
    </w:p>
    <w:p w14:paraId="1BB0E32E" w14:textId="77777777" w:rsidR="004F0D29" w:rsidRPr="004F0D29" w:rsidRDefault="004F0D29" w:rsidP="00C85463">
      <w:pPr>
        <w:pStyle w:val="CenterUnderline"/>
        <w:jc w:val="both"/>
        <w:rPr>
          <w:bCs/>
          <w:u w:val="none"/>
        </w:rPr>
      </w:pPr>
    </w:p>
    <w:p w14:paraId="3FDA1BFC" w14:textId="35EC76A2" w:rsidR="007855C5" w:rsidRDefault="001E2403" w:rsidP="001E2403">
      <w:pPr>
        <w:pStyle w:val="CenterUnderline"/>
        <w:ind w:firstLine="720"/>
        <w:jc w:val="both"/>
        <w:rPr>
          <w:u w:val="none"/>
        </w:rPr>
      </w:pPr>
      <w:r>
        <w:rPr>
          <w:u w:val="none"/>
        </w:rPr>
        <w:t>On May 15, 2026,</w:t>
      </w:r>
      <w:r w:rsidRPr="00A766BF">
        <w:rPr>
          <w:u w:val="none"/>
        </w:rPr>
        <w:t xml:space="preserve"> Florida Rising, Inc. (FR) requested intervention in this docket</w:t>
      </w:r>
      <w:r w:rsidR="007855C5">
        <w:rPr>
          <w:u w:val="none"/>
        </w:rPr>
        <w:t xml:space="preserve">, alleging that </w:t>
      </w:r>
      <w:r w:rsidR="00580BCD">
        <w:rPr>
          <w:u w:val="none"/>
        </w:rPr>
        <w:t>FR’s membership will face higher electricity rates and bills as DEF’s proposed tariffs do not appropriately cover costs for large load users and expansion of infrastructure</w:t>
      </w:r>
      <w:r w:rsidRPr="00A766BF">
        <w:rPr>
          <w:u w:val="none"/>
        </w:rPr>
        <w:t>.</w:t>
      </w:r>
      <w:r>
        <w:rPr>
          <w:u w:val="none"/>
        </w:rPr>
        <w:t xml:space="preserve"> FR’s request for intervention</w:t>
      </w:r>
      <w:r w:rsidRPr="00A766BF">
        <w:rPr>
          <w:u w:val="none"/>
        </w:rPr>
        <w:t xml:space="preserve"> </w:t>
      </w:r>
      <w:r>
        <w:rPr>
          <w:u w:val="none"/>
        </w:rPr>
        <w:t xml:space="preserve">was granted </w:t>
      </w:r>
      <w:r w:rsidRPr="00A766BF">
        <w:rPr>
          <w:u w:val="none"/>
        </w:rPr>
        <w:t>by Order No. PSC-2026-0</w:t>
      </w:r>
      <w:r>
        <w:rPr>
          <w:u w:val="none"/>
        </w:rPr>
        <w:t>233</w:t>
      </w:r>
      <w:r w:rsidRPr="00A766BF">
        <w:rPr>
          <w:u w:val="none"/>
        </w:rPr>
        <w:t>-PCO-EI</w:t>
      </w:r>
      <w:r w:rsidRPr="00D5048C">
        <w:rPr>
          <w:u w:val="none"/>
        </w:rPr>
        <w:t xml:space="preserve"> </w:t>
      </w:r>
      <w:r>
        <w:rPr>
          <w:u w:val="none"/>
        </w:rPr>
        <w:t>on June 23, 2026</w:t>
      </w:r>
      <w:r w:rsidRPr="00A766BF">
        <w:rPr>
          <w:u w:val="none"/>
        </w:rPr>
        <w:t xml:space="preserve">, </w:t>
      </w:r>
      <w:bookmarkStart w:id="5" w:name="_Hlk233364877"/>
      <w:r w:rsidRPr="00D5048C">
        <w:rPr>
          <w:u w:val="none"/>
        </w:rPr>
        <w:t>subject to proof of standing or stipulations that there are sufficient</w:t>
      </w:r>
      <w:r>
        <w:rPr>
          <w:u w:val="none"/>
        </w:rPr>
        <w:t xml:space="preserve"> </w:t>
      </w:r>
      <w:r w:rsidRPr="00D5048C">
        <w:rPr>
          <w:u w:val="none"/>
        </w:rPr>
        <w:t>facts to support all elements for standing</w:t>
      </w:r>
      <w:bookmarkEnd w:id="5"/>
      <w:r w:rsidRPr="00A766BF">
        <w:rPr>
          <w:u w:val="none"/>
        </w:rPr>
        <w:t>.</w:t>
      </w:r>
      <w:r w:rsidR="00511D5E">
        <w:rPr>
          <w:u w:val="none"/>
        </w:rPr>
        <w:t xml:space="preserve"> </w:t>
      </w:r>
      <w:r w:rsidR="00BE1614">
        <w:rPr>
          <w:u w:val="none"/>
        </w:rPr>
        <w:t xml:space="preserve">On June 24, 2026, FR filed </w:t>
      </w:r>
      <w:r w:rsidR="00D148F1">
        <w:rPr>
          <w:u w:val="none"/>
        </w:rPr>
        <w:t xml:space="preserve">the </w:t>
      </w:r>
      <w:r w:rsidR="00BE1614">
        <w:rPr>
          <w:u w:val="none"/>
        </w:rPr>
        <w:t xml:space="preserve">testimony </w:t>
      </w:r>
      <w:r w:rsidR="00D148F1">
        <w:rPr>
          <w:u w:val="none"/>
        </w:rPr>
        <w:t>of</w:t>
      </w:r>
      <w:r w:rsidR="00256788">
        <w:rPr>
          <w:u w:val="none"/>
        </w:rPr>
        <w:t xml:space="preserve"> Katina Rentas Neg</w:t>
      </w:r>
      <w:r w:rsidR="004F4098" w:rsidRPr="004F4098">
        <w:rPr>
          <w:u w:val="none"/>
        </w:rPr>
        <w:t>ró</w:t>
      </w:r>
      <w:r w:rsidR="00256788">
        <w:rPr>
          <w:u w:val="none"/>
        </w:rPr>
        <w:t xml:space="preserve">n </w:t>
      </w:r>
      <w:r w:rsidR="00BE1614">
        <w:rPr>
          <w:u w:val="none"/>
        </w:rPr>
        <w:t>in this docket</w:t>
      </w:r>
      <w:r w:rsidR="004F4098">
        <w:rPr>
          <w:u w:val="none"/>
        </w:rPr>
        <w:t xml:space="preserve"> to support its standing</w:t>
      </w:r>
      <w:r w:rsidR="007855C5">
        <w:rPr>
          <w:u w:val="none"/>
        </w:rPr>
        <w:t>.</w:t>
      </w:r>
      <w:r w:rsidR="00BE1614">
        <w:rPr>
          <w:u w:val="none"/>
        </w:rPr>
        <w:t xml:space="preserve"> </w:t>
      </w:r>
      <w:r w:rsidR="007855C5">
        <w:rPr>
          <w:u w:val="none"/>
        </w:rPr>
        <w:t xml:space="preserve">In the testimony, FR’s witness </w:t>
      </w:r>
      <w:r w:rsidR="006952CB">
        <w:rPr>
          <w:u w:val="none"/>
        </w:rPr>
        <w:t>Negr</w:t>
      </w:r>
      <w:r w:rsidR="006952CB" w:rsidRPr="004F4098">
        <w:rPr>
          <w:u w:val="none"/>
        </w:rPr>
        <w:t>ó</w:t>
      </w:r>
      <w:r w:rsidR="006952CB">
        <w:rPr>
          <w:u w:val="none"/>
        </w:rPr>
        <w:t xml:space="preserve">n </w:t>
      </w:r>
      <w:r w:rsidR="007855C5">
        <w:rPr>
          <w:u w:val="none"/>
        </w:rPr>
        <w:t xml:space="preserve">states that </w:t>
      </w:r>
      <w:r w:rsidR="006952CB">
        <w:rPr>
          <w:u w:val="none"/>
        </w:rPr>
        <w:t>FR has estimated 190 members as current DEF customers.</w:t>
      </w:r>
      <w:r w:rsidR="006952CB">
        <w:rPr>
          <w:rStyle w:val="FootnoteReference"/>
          <w:u w:val="none"/>
        </w:rPr>
        <w:footnoteReference w:id="1"/>
      </w:r>
    </w:p>
    <w:p w14:paraId="0E263157" w14:textId="77777777" w:rsidR="007855C5" w:rsidRDefault="007855C5" w:rsidP="001E2403">
      <w:pPr>
        <w:pStyle w:val="CenterUnderline"/>
        <w:ind w:firstLine="720"/>
        <w:jc w:val="both"/>
        <w:rPr>
          <w:u w:val="none"/>
        </w:rPr>
      </w:pPr>
    </w:p>
    <w:p w14:paraId="781E5C9F" w14:textId="35E43085" w:rsidR="00511D5E" w:rsidRPr="004F0D29" w:rsidRDefault="00511D5E" w:rsidP="001E2403">
      <w:pPr>
        <w:pStyle w:val="CenterUnderline"/>
        <w:ind w:firstLine="720"/>
        <w:jc w:val="both"/>
        <w:rPr>
          <w:bCs/>
          <w:u w:val="none"/>
        </w:rPr>
      </w:pPr>
      <w:r>
        <w:rPr>
          <w:u w:val="none"/>
        </w:rPr>
        <w:t>On June 26, 2026, DEF filed a Motion to Strike Florida Rising, Inc. as an Intervening Party (Motion to Strike), requesting that FR be excluded from further participation in this docket for a lack of st</w:t>
      </w:r>
      <w:r w:rsidR="00C82D5F">
        <w:rPr>
          <w:u w:val="none"/>
        </w:rPr>
        <w:t>a</w:t>
      </w:r>
      <w:r>
        <w:rPr>
          <w:u w:val="none"/>
        </w:rPr>
        <w:t>nding.</w:t>
      </w:r>
      <w:r w:rsidR="00C82D5F">
        <w:rPr>
          <w:u w:val="none"/>
        </w:rPr>
        <w:t xml:space="preserve"> </w:t>
      </w:r>
      <w:r w:rsidR="004F4098">
        <w:rPr>
          <w:u w:val="none"/>
        </w:rPr>
        <w:t xml:space="preserve">On July 7, 2026, </w:t>
      </w:r>
      <w:r>
        <w:rPr>
          <w:u w:val="none"/>
        </w:rPr>
        <w:t xml:space="preserve">FR </w:t>
      </w:r>
      <w:r w:rsidR="004F4098">
        <w:rPr>
          <w:u w:val="none"/>
        </w:rPr>
        <w:t xml:space="preserve">and the Office of Public Counsel </w:t>
      </w:r>
      <w:r>
        <w:rPr>
          <w:u w:val="none"/>
        </w:rPr>
        <w:t xml:space="preserve">filed </w:t>
      </w:r>
      <w:r w:rsidR="007855C5">
        <w:rPr>
          <w:u w:val="none"/>
        </w:rPr>
        <w:t xml:space="preserve">individual </w:t>
      </w:r>
      <w:r w:rsidR="004F4098">
        <w:rPr>
          <w:u w:val="none"/>
        </w:rPr>
        <w:t>r</w:t>
      </w:r>
      <w:r>
        <w:rPr>
          <w:u w:val="none"/>
        </w:rPr>
        <w:t>esponse</w:t>
      </w:r>
      <w:r w:rsidR="004F4098">
        <w:rPr>
          <w:u w:val="none"/>
        </w:rPr>
        <w:t>s</w:t>
      </w:r>
      <w:r>
        <w:rPr>
          <w:u w:val="none"/>
        </w:rPr>
        <w:t xml:space="preserve"> to the Motion to Strike</w:t>
      </w:r>
      <w:r w:rsidR="007855C5">
        <w:rPr>
          <w:u w:val="none"/>
        </w:rPr>
        <w:t>,</w:t>
      </w:r>
      <w:r w:rsidR="00C82D5F">
        <w:rPr>
          <w:u w:val="none"/>
        </w:rPr>
        <w:t xml:space="preserve"> </w:t>
      </w:r>
      <w:r w:rsidR="0050195F">
        <w:rPr>
          <w:u w:val="none"/>
        </w:rPr>
        <w:t xml:space="preserve">requesting </w:t>
      </w:r>
      <w:r w:rsidR="007855C5">
        <w:rPr>
          <w:u w:val="none"/>
        </w:rPr>
        <w:t xml:space="preserve">that </w:t>
      </w:r>
      <w:r w:rsidR="0050195F">
        <w:rPr>
          <w:u w:val="none"/>
        </w:rPr>
        <w:t>it be denied</w:t>
      </w:r>
      <w:r w:rsidR="00C70B6C">
        <w:rPr>
          <w:u w:val="none"/>
        </w:rPr>
        <w:t>.</w:t>
      </w:r>
    </w:p>
    <w:p w14:paraId="0D88E71C" w14:textId="77777777" w:rsidR="004F0D29" w:rsidRPr="004F0D29" w:rsidRDefault="004F0D29" w:rsidP="00C85463">
      <w:pPr>
        <w:pStyle w:val="CenterUnderline"/>
        <w:jc w:val="both"/>
        <w:rPr>
          <w:bCs/>
          <w:u w:val="none"/>
        </w:rPr>
      </w:pPr>
    </w:p>
    <w:p w14:paraId="7A9B5AF9" w14:textId="77777777" w:rsidR="00511D5E" w:rsidRDefault="00511D5E" w:rsidP="00511D5E">
      <w:pPr>
        <w:pStyle w:val="CenterUnderline"/>
        <w:ind w:firstLine="720"/>
        <w:jc w:val="both"/>
        <w:rPr>
          <w:u w:val="none"/>
        </w:rPr>
      </w:pPr>
      <w:r w:rsidRPr="009C58A7">
        <w:rPr>
          <w:u w:val="none"/>
        </w:rPr>
        <w:t>This Order is issued pursuant to the authority granted by Rule 28-106.211, Florida</w:t>
      </w:r>
      <w:r>
        <w:rPr>
          <w:u w:val="none"/>
        </w:rPr>
        <w:t xml:space="preserve"> </w:t>
      </w:r>
      <w:r w:rsidRPr="009C58A7">
        <w:rPr>
          <w:u w:val="none"/>
        </w:rPr>
        <w:t>Administrative Code (F.A.C.), which provides that the presiding officer before whom a case is</w:t>
      </w:r>
      <w:r>
        <w:rPr>
          <w:u w:val="none"/>
        </w:rPr>
        <w:t xml:space="preserve"> </w:t>
      </w:r>
      <w:r w:rsidRPr="009C58A7">
        <w:rPr>
          <w:u w:val="none"/>
        </w:rPr>
        <w:t>pending may issue any orders necessary to effectuate discovery, prevent delay, and promote the</w:t>
      </w:r>
      <w:r>
        <w:rPr>
          <w:u w:val="none"/>
        </w:rPr>
        <w:t xml:space="preserve"> </w:t>
      </w:r>
      <w:r w:rsidRPr="009C58A7">
        <w:rPr>
          <w:u w:val="none"/>
        </w:rPr>
        <w:t>just, speedy, and inexpensive determination of all aspects of the case.</w:t>
      </w:r>
    </w:p>
    <w:p w14:paraId="5816E507" w14:textId="77777777" w:rsidR="004F0D29" w:rsidRDefault="004F0D29" w:rsidP="00C85463">
      <w:pPr>
        <w:pStyle w:val="CenterUnderline"/>
        <w:jc w:val="both"/>
        <w:rPr>
          <w:u w:val="none"/>
        </w:rPr>
      </w:pPr>
    </w:p>
    <w:p w14:paraId="015D1ECE" w14:textId="25731C57" w:rsidR="004F0D29" w:rsidRDefault="00BE1614" w:rsidP="00C85463">
      <w:pPr>
        <w:pStyle w:val="CenterUnderline"/>
        <w:jc w:val="both"/>
        <w:rPr>
          <w:u w:val="none"/>
        </w:rPr>
      </w:pPr>
      <w:r>
        <w:t xml:space="preserve">DEF’s </w:t>
      </w:r>
      <w:r w:rsidR="00BF4462">
        <w:t>Motion to Strike</w:t>
      </w:r>
    </w:p>
    <w:p w14:paraId="7CF1ECEE" w14:textId="77777777" w:rsidR="00BF4462" w:rsidRDefault="00BF4462" w:rsidP="00C85463">
      <w:pPr>
        <w:pStyle w:val="CenterUnderline"/>
        <w:jc w:val="both"/>
        <w:rPr>
          <w:u w:val="none"/>
        </w:rPr>
      </w:pPr>
    </w:p>
    <w:p w14:paraId="1715B72D" w14:textId="1A0FB2BA" w:rsidR="00DB6FBB" w:rsidRPr="00DB6FBB" w:rsidRDefault="00BF4462" w:rsidP="00C85463">
      <w:pPr>
        <w:pStyle w:val="CenterUnderline"/>
        <w:jc w:val="both"/>
        <w:rPr>
          <w:u w:val="none"/>
        </w:rPr>
      </w:pPr>
      <w:r>
        <w:rPr>
          <w:u w:val="none"/>
        </w:rPr>
        <w:tab/>
        <w:t xml:space="preserve">DEF </w:t>
      </w:r>
      <w:r w:rsidR="00344C06">
        <w:rPr>
          <w:u w:val="none"/>
        </w:rPr>
        <w:t xml:space="preserve">asserts that FR has failed to meet the standards for standing to participate in this docket because </w:t>
      </w:r>
      <w:r w:rsidR="007855C5">
        <w:rPr>
          <w:u w:val="none"/>
        </w:rPr>
        <w:t>it has</w:t>
      </w:r>
      <w:r w:rsidR="00344C06">
        <w:rPr>
          <w:u w:val="none"/>
        </w:rPr>
        <w:t xml:space="preserve"> not </w:t>
      </w:r>
      <w:r w:rsidR="00145387">
        <w:rPr>
          <w:u w:val="none"/>
        </w:rPr>
        <w:t xml:space="preserve">demonstrated that a substantial number of its members are substantially </w:t>
      </w:r>
      <w:r w:rsidR="00145387">
        <w:rPr>
          <w:u w:val="none"/>
        </w:rPr>
        <w:lastRenderedPageBreak/>
        <w:t>affected</w:t>
      </w:r>
      <w:r w:rsidR="009A34A5">
        <w:rPr>
          <w:u w:val="none"/>
        </w:rPr>
        <w:t xml:space="preserve">. Specifically, DEF </w:t>
      </w:r>
      <w:r w:rsidR="00D50507">
        <w:rPr>
          <w:u w:val="none"/>
        </w:rPr>
        <w:t xml:space="preserve">takes issue with FR estimating the number of its members that are </w:t>
      </w:r>
      <w:r w:rsidR="00DB6FBB">
        <w:rPr>
          <w:u w:val="none"/>
        </w:rPr>
        <w:t xml:space="preserve">DEF customers and the use of a </w:t>
      </w:r>
      <w:r w:rsidR="00DB6FBB">
        <w:rPr>
          <w:i/>
          <w:iCs/>
          <w:u w:val="none"/>
        </w:rPr>
        <w:t xml:space="preserve">pro rata </w:t>
      </w:r>
      <w:r w:rsidR="00D442CE">
        <w:rPr>
          <w:u w:val="none"/>
        </w:rPr>
        <w:t>methodology</w:t>
      </w:r>
      <w:r w:rsidR="00DB6FBB">
        <w:rPr>
          <w:u w:val="none"/>
        </w:rPr>
        <w:t xml:space="preserve"> to create its estimate</w:t>
      </w:r>
      <w:r w:rsidR="00D442CE">
        <w:rPr>
          <w:u w:val="none"/>
        </w:rPr>
        <w:t>, claiming that such an estimate is not competent substantial evidence</w:t>
      </w:r>
      <w:r w:rsidR="00DB6FBB">
        <w:rPr>
          <w:u w:val="none"/>
        </w:rPr>
        <w:t>. DEF also argues that FR’s estimate of 190 out of 1,255 of its members being DEF customers does not result in in a “substantial number</w:t>
      </w:r>
      <w:r w:rsidR="004F4098">
        <w:rPr>
          <w:u w:val="none"/>
        </w:rPr>
        <w:t>.</w:t>
      </w:r>
      <w:r w:rsidR="00DB6FBB">
        <w:rPr>
          <w:u w:val="none"/>
        </w:rPr>
        <w:t xml:space="preserve">” </w:t>
      </w:r>
      <w:r w:rsidR="0050195F">
        <w:rPr>
          <w:i/>
          <w:iCs/>
          <w:u w:val="none"/>
        </w:rPr>
        <w:t xml:space="preserve">See </w:t>
      </w:r>
      <w:r w:rsidR="00DB6FBB">
        <w:rPr>
          <w:i/>
          <w:iCs/>
          <w:u w:val="none"/>
        </w:rPr>
        <w:t>Fla</w:t>
      </w:r>
      <w:r w:rsidR="00C94E80">
        <w:rPr>
          <w:i/>
          <w:iCs/>
          <w:u w:val="none"/>
        </w:rPr>
        <w:t>.</w:t>
      </w:r>
      <w:r w:rsidR="00DB6FBB">
        <w:rPr>
          <w:i/>
          <w:iCs/>
          <w:u w:val="none"/>
        </w:rPr>
        <w:t xml:space="preserve"> Home Builders</w:t>
      </w:r>
      <w:r w:rsidR="0050195F">
        <w:rPr>
          <w:i/>
          <w:iCs/>
          <w:u w:val="none"/>
        </w:rPr>
        <w:t xml:space="preserve"> </w:t>
      </w:r>
      <w:r w:rsidR="00C94E80">
        <w:rPr>
          <w:i/>
          <w:iCs/>
          <w:u w:val="none"/>
        </w:rPr>
        <w:t xml:space="preserve">Ass’n </w:t>
      </w:r>
      <w:r w:rsidR="0050195F">
        <w:rPr>
          <w:i/>
          <w:iCs/>
          <w:u w:val="none"/>
        </w:rPr>
        <w:t>v.</w:t>
      </w:r>
      <w:r w:rsidR="00C94E80">
        <w:rPr>
          <w:i/>
          <w:iCs/>
          <w:u w:val="none"/>
        </w:rPr>
        <w:t xml:space="preserve"> Dep’t of Labor and Emp</w:t>
      </w:r>
      <w:r w:rsidR="00413128">
        <w:rPr>
          <w:i/>
          <w:iCs/>
          <w:u w:val="none"/>
        </w:rPr>
        <w:t>’</w:t>
      </w:r>
      <w:r w:rsidR="00C94E80">
        <w:rPr>
          <w:i/>
          <w:iCs/>
          <w:u w:val="none"/>
        </w:rPr>
        <w:t>t Security</w:t>
      </w:r>
      <w:r w:rsidR="00413128">
        <w:rPr>
          <w:i/>
          <w:iCs/>
          <w:u w:val="none"/>
        </w:rPr>
        <w:t>,</w:t>
      </w:r>
      <w:r w:rsidR="00DB6FBB">
        <w:rPr>
          <w:u w:val="none"/>
        </w:rPr>
        <w:t xml:space="preserve"> 412 So. 2d 351 (Fla. 1982).</w:t>
      </w:r>
    </w:p>
    <w:p w14:paraId="73E9305B" w14:textId="77777777" w:rsidR="009A34A5" w:rsidRDefault="009A34A5" w:rsidP="00C85463">
      <w:pPr>
        <w:pStyle w:val="CenterUnderline"/>
        <w:jc w:val="both"/>
        <w:rPr>
          <w:u w:val="none"/>
        </w:rPr>
      </w:pPr>
    </w:p>
    <w:p w14:paraId="7AC061A6" w14:textId="01D6B39A" w:rsidR="00BF4462" w:rsidRDefault="009A34A5" w:rsidP="009A34A5">
      <w:pPr>
        <w:pStyle w:val="CenterUnderline"/>
        <w:ind w:firstLine="720"/>
        <w:jc w:val="both"/>
        <w:rPr>
          <w:u w:val="none"/>
        </w:rPr>
      </w:pPr>
      <w:r>
        <w:rPr>
          <w:u w:val="none"/>
        </w:rPr>
        <w:t xml:space="preserve">DEF further </w:t>
      </w:r>
      <w:r w:rsidR="003137B9">
        <w:rPr>
          <w:u w:val="none"/>
        </w:rPr>
        <w:t>asserts</w:t>
      </w:r>
      <w:r w:rsidR="00145387">
        <w:rPr>
          <w:u w:val="none"/>
        </w:rPr>
        <w:t xml:space="preserve"> that FR’s alleged injury is speculative and fails the </w:t>
      </w:r>
      <w:r w:rsidR="00145387" w:rsidRPr="00145387">
        <w:rPr>
          <w:i/>
          <w:iCs/>
          <w:u w:val="none"/>
        </w:rPr>
        <w:t>Agrico</w:t>
      </w:r>
      <w:r w:rsidR="00145387">
        <w:rPr>
          <w:u w:val="none"/>
        </w:rPr>
        <w:t xml:space="preserve"> requirement.</w:t>
      </w:r>
      <w:r w:rsidR="00344C06">
        <w:rPr>
          <w:u w:val="none"/>
        </w:rPr>
        <w:t xml:space="preserve"> </w:t>
      </w:r>
      <w:r w:rsidR="003137B9" w:rsidRPr="003137B9">
        <w:rPr>
          <w:i/>
          <w:iCs/>
          <w:u w:val="none"/>
        </w:rPr>
        <w:t xml:space="preserve">Agrico </w:t>
      </w:r>
      <w:r w:rsidR="003137B9" w:rsidRPr="003137B9">
        <w:rPr>
          <w:i/>
          <w:u w:val="none"/>
        </w:rPr>
        <w:t>Chem. Co. v.</w:t>
      </w:r>
      <w:r w:rsidR="003137B9">
        <w:rPr>
          <w:u w:val="none"/>
        </w:rPr>
        <w:t xml:space="preserve"> </w:t>
      </w:r>
      <w:r w:rsidR="003137B9" w:rsidRPr="003137B9">
        <w:rPr>
          <w:i/>
          <w:iCs/>
          <w:u w:val="none"/>
        </w:rPr>
        <w:t>Dep’t</w:t>
      </w:r>
      <w:r w:rsidR="003137B9">
        <w:rPr>
          <w:u w:val="none"/>
        </w:rPr>
        <w:t xml:space="preserve"> </w:t>
      </w:r>
      <w:r w:rsidR="003137B9" w:rsidRPr="003137B9">
        <w:rPr>
          <w:i/>
          <w:iCs/>
          <w:u w:val="none"/>
        </w:rPr>
        <w:t>of</w:t>
      </w:r>
      <w:r w:rsidR="003137B9">
        <w:rPr>
          <w:u w:val="none"/>
        </w:rPr>
        <w:t xml:space="preserve"> </w:t>
      </w:r>
      <w:r w:rsidR="003137B9" w:rsidRPr="003137B9">
        <w:rPr>
          <w:i/>
          <w:iCs/>
          <w:u w:val="none"/>
        </w:rPr>
        <w:t>Envtl. Reg’l</w:t>
      </w:r>
      <w:r w:rsidR="003137B9">
        <w:rPr>
          <w:u w:val="none"/>
        </w:rPr>
        <w:t>, 406 So. 2d 478 (Fla 2d DCA 1981). DEF argues that there are multiple contingencies that must take place following approval of its proposed tariff before any residential rate impact can occur, including a future rate proceeding. Until then, DEF notes that its rates are fixed through 2027 under a Commission-approved settlement, and such rates are not being changed through this proceeding.</w:t>
      </w:r>
    </w:p>
    <w:p w14:paraId="784F89C7" w14:textId="77777777" w:rsidR="00344C06" w:rsidRDefault="00344C06" w:rsidP="00C85463">
      <w:pPr>
        <w:pStyle w:val="CenterUnderline"/>
        <w:jc w:val="both"/>
        <w:rPr>
          <w:u w:val="none"/>
        </w:rPr>
      </w:pPr>
    </w:p>
    <w:p w14:paraId="37751749" w14:textId="0886CBBA" w:rsidR="00344C06" w:rsidRPr="00344C06" w:rsidRDefault="00344C06" w:rsidP="00C85463">
      <w:pPr>
        <w:pStyle w:val="CenterUnderline"/>
        <w:jc w:val="both"/>
      </w:pPr>
      <w:r w:rsidRPr="00344C06">
        <w:t>FR’s Response to the Motion to Strike</w:t>
      </w:r>
    </w:p>
    <w:p w14:paraId="28415452" w14:textId="77777777" w:rsidR="00344C06" w:rsidRDefault="00344C06" w:rsidP="00C85463">
      <w:pPr>
        <w:pStyle w:val="CenterUnderline"/>
        <w:jc w:val="both"/>
        <w:rPr>
          <w:u w:val="none"/>
        </w:rPr>
      </w:pPr>
    </w:p>
    <w:p w14:paraId="5BA6E749" w14:textId="5C20C716" w:rsidR="00C17676" w:rsidRDefault="00344C06" w:rsidP="00C85463">
      <w:pPr>
        <w:pStyle w:val="CenterUnderline"/>
        <w:jc w:val="both"/>
        <w:rPr>
          <w:u w:val="none"/>
        </w:rPr>
      </w:pPr>
      <w:r>
        <w:rPr>
          <w:u w:val="none"/>
        </w:rPr>
        <w:tab/>
        <w:t xml:space="preserve">FR </w:t>
      </w:r>
      <w:r w:rsidR="00D442CE">
        <w:rPr>
          <w:u w:val="none"/>
        </w:rPr>
        <w:t>responds</w:t>
      </w:r>
      <w:r>
        <w:rPr>
          <w:u w:val="none"/>
        </w:rPr>
        <w:t xml:space="preserve"> that </w:t>
      </w:r>
      <w:r w:rsidR="00D442CE">
        <w:rPr>
          <w:u w:val="none"/>
        </w:rPr>
        <w:t xml:space="preserve">estimates are competent substantial evidence and valid as factual determinations, </w:t>
      </w:r>
      <w:r w:rsidR="00990084">
        <w:rPr>
          <w:u w:val="none"/>
        </w:rPr>
        <w:t>noting prior D</w:t>
      </w:r>
      <w:r w:rsidR="00413128">
        <w:rPr>
          <w:u w:val="none"/>
        </w:rPr>
        <w:t>EF</w:t>
      </w:r>
      <w:r w:rsidR="00990084">
        <w:rPr>
          <w:u w:val="none"/>
        </w:rPr>
        <w:t xml:space="preserve"> rate cases </w:t>
      </w:r>
      <w:r w:rsidR="007855C5">
        <w:rPr>
          <w:u w:val="none"/>
        </w:rPr>
        <w:t>where intervenors</w:t>
      </w:r>
      <w:r w:rsidR="00990084">
        <w:rPr>
          <w:u w:val="none"/>
        </w:rPr>
        <w:t xml:space="preserve"> used estimates </w:t>
      </w:r>
      <w:r w:rsidR="007855C5">
        <w:rPr>
          <w:u w:val="none"/>
        </w:rPr>
        <w:t xml:space="preserve">regarding the intervenor’s membership, which was </w:t>
      </w:r>
      <w:r w:rsidR="00990084">
        <w:rPr>
          <w:u w:val="none"/>
        </w:rPr>
        <w:t>relied upon in decisions made by th</w:t>
      </w:r>
      <w:r w:rsidR="007855C5">
        <w:rPr>
          <w:u w:val="none"/>
        </w:rPr>
        <w:t>e</w:t>
      </w:r>
      <w:r w:rsidR="00990084">
        <w:rPr>
          <w:u w:val="none"/>
        </w:rPr>
        <w:t xml:space="preserve"> Commission and upheld by the Florida Supreme Court. FR defends that a substantial number of its members will be affected by this docket and the threshold </w:t>
      </w:r>
      <w:r w:rsidR="005D59A3">
        <w:rPr>
          <w:u w:val="none"/>
        </w:rPr>
        <w:t xml:space="preserve">for “substantial number” under </w:t>
      </w:r>
      <w:r w:rsidR="005D59A3">
        <w:rPr>
          <w:i/>
          <w:iCs/>
          <w:u w:val="none"/>
        </w:rPr>
        <w:t>Florida Home Builders</w:t>
      </w:r>
      <w:r w:rsidR="005D59A3">
        <w:rPr>
          <w:u w:val="none"/>
        </w:rPr>
        <w:t xml:space="preserve"> </w:t>
      </w:r>
      <w:r w:rsidR="00990084">
        <w:rPr>
          <w:u w:val="none"/>
        </w:rPr>
        <w:t>is not based upon a majority or a minimum percentage. FR notes that all 65 of its alleged members in Pinellas County will be affected by this docket, which it asserts is a substantial number on its own.</w:t>
      </w:r>
      <w:r w:rsidR="00C17676">
        <w:rPr>
          <w:u w:val="none"/>
        </w:rPr>
        <w:t xml:space="preserve"> Finally, FR argues that this docket could result in billions of dollars in cost-shifting onto residential customers. FR asserts that if DEF’s proposal is allowed to go forward, it will ultimately result in increased rates for FR’s members.</w:t>
      </w:r>
    </w:p>
    <w:p w14:paraId="64726CCF" w14:textId="77777777" w:rsidR="0010388D" w:rsidRDefault="0010388D" w:rsidP="00C85463">
      <w:pPr>
        <w:pStyle w:val="CenterUnderline"/>
        <w:jc w:val="both"/>
        <w:rPr>
          <w:u w:val="none"/>
        </w:rPr>
      </w:pPr>
    </w:p>
    <w:p w14:paraId="44A48CFF" w14:textId="428603B8" w:rsidR="0010388D" w:rsidRDefault="005D59A3" w:rsidP="00C85463">
      <w:pPr>
        <w:pStyle w:val="CenterUnderline"/>
        <w:jc w:val="both"/>
      </w:pPr>
      <w:r>
        <w:t>OPC’s Response to the Motion to Strike</w:t>
      </w:r>
    </w:p>
    <w:p w14:paraId="10B310CE" w14:textId="77777777" w:rsidR="005D59A3" w:rsidRDefault="005D59A3" w:rsidP="00C85463">
      <w:pPr>
        <w:pStyle w:val="CenterUnderline"/>
        <w:jc w:val="both"/>
      </w:pPr>
    </w:p>
    <w:p w14:paraId="61173F8F" w14:textId="35384628" w:rsidR="005D59A3" w:rsidRPr="005D59A3" w:rsidRDefault="005D59A3" w:rsidP="00C85463">
      <w:pPr>
        <w:pStyle w:val="CenterUnderline"/>
        <w:jc w:val="both"/>
        <w:rPr>
          <w:u w:val="none"/>
        </w:rPr>
      </w:pPr>
      <w:r w:rsidRPr="00F8299D">
        <w:rPr>
          <w:u w:val="none"/>
        </w:rPr>
        <w:tab/>
        <w:t xml:space="preserve">OPC responds that DEF did not allege that estimates are not commonly relied upon by a reasonably prudent person. Consequently, DEF’s motion is not a relevancy issue but rather a sufficiency argument. The proper result would be continued discovery. As it stands, </w:t>
      </w:r>
      <w:r>
        <w:rPr>
          <w:u w:val="none"/>
        </w:rPr>
        <w:t>dismissal of a genuine issue of material fact (i.e., standing) is premature if a party has not had the opportunity to complete discovery and provide testimony. As of the filing of the Motion to Strike, FR has yet to offer its testimony into evidence.</w:t>
      </w:r>
    </w:p>
    <w:p w14:paraId="7E9170FF" w14:textId="67546131" w:rsidR="00344C06" w:rsidRDefault="00344C06" w:rsidP="00C85463">
      <w:pPr>
        <w:pStyle w:val="CenterUnderline"/>
        <w:jc w:val="both"/>
        <w:rPr>
          <w:u w:val="none"/>
        </w:rPr>
      </w:pPr>
    </w:p>
    <w:p w14:paraId="67C64B2D" w14:textId="72DF1EFB" w:rsidR="00344C06" w:rsidRDefault="00344C06" w:rsidP="00C85463">
      <w:pPr>
        <w:pStyle w:val="CenterUnderline"/>
        <w:jc w:val="both"/>
        <w:rPr>
          <w:u w:val="none"/>
        </w:rPr>
      </w:pPr>
      <w:r>
        <w:t>Analysis and Decision</w:t>
      </w:r>
    </w:p>
    <w:p w14:paraId="4BED810A" w14:textId="77777777" w:rsidR="00344C06" w:rsidRDefault="00344C06" w:rsidP="00C85463">
      <w:pPr>
        <w:pStyle w:val="CenterUnderline"/>
        <w:jc w:val="both"/>
        <w:rPr>
          <w:u w:val="none"/>
        </w:rPr>
      </w:pPr>
    </w:p>
    <w:p w14:paraId="45DDCAA5" w14:textId="48344B08" w:rsidR="00344C06" w:rsidRPr="00413128" w:rsidRDefault="00344C06" w:rsidP="00C85463">
      <w:pPr>
        <w:pStyle w:val="CenterUnderline"/>
        <w:jc w:val="both"/>
        <w:rPr>
          <w:u w:val="none"/>
        </w:rPr>
      </w:pPr>
      <w:r>
        <w:rPr>
          <w:u w:val="none"/>
        </w:rPr>
        <w:tab/>
      </w:r>
      <w:r w:rsidR="00F8299D">
        <w:rPr>
          <w:u w:val="none"/>
        </w:rPr>
        <w:t>As noted in the responses to the Motion to Strike, DEF’s motion is akin to a motion for summary final order. As provided in the Order Granting Intervention,</w:t>
      </w:r>
      <w:r w:rsidR="00F8299D">
        <w:rPr>
          <w:rStyle w:val="FootnoteReference"/>
          <w:u w:val="none"/>
        </w:rPr>
        <w:footnoteReference w:id="2"/>
      </w:r>
      <w:r w:rsidR="00F8299D">
        <w:rPr>
          <w:u w:val="none"/>
        </w:rPr>
        <w:t xml:space="preserve"> FR’s petition for intervention was “granted subject to proof of standing or stipulations that there are sufficient facts to support all elements for standing.” FR has </w:t>
      </w:r>
      <w:r w:rsidR="00FB5097">
        <w:rPr>
          <w:u w:val="none"/>
        </w:rPr>
        <w:t xml:space="preserve">prefiled testimony to </w:t>
      </w:r>
      <w:r w:rsidR="00310F55">
        <w:rPr>
          <w:u w:val="none"/>
        </w:rPr>
        <w:t>address</w:t>
      </w:r>
      <w:r w:rsidR="00FB5097">
        <w:rPr>
          <w:u w:val="none"/>
        </w:rPr>
        <w:t xml:space="preserve"> that requirement</w:t>
      </w:r>
      <w:r w:rsidR="00310F55">
        <w:rPr>
          <w:u w:val="none"/>
        </w:rPr>
        <w:t>, and</w:t>
      </w:r>
      <w:r w:rsidR="00F8299D">
        <w:rPr>
          <w:u w:val="none"/>
        </w:rPr>
        <w:t xml:space="preserve"> the evidentiary record </w:t>
      </w:r>
      <w:r w:rsidR="00310F55">
        <w:rPr>
          <w:u w:val="none"/>
        </w:rPr>
        <w:t xml:space="preserve">remains open until </w:t>
      </w:r>
      <w:r w:rsidR="00FB5097">
        <w:rPr>
          <w:u w:val="none"/>
        </w:rPr>
        <w:t>the conclusion of the hearing</w:t>
      </w:r>
      <w:r w:rsidR="00310F55">
        <w:rPr>
          <w:u w:val="none"/>
        </w:rPr>
        <w:t>, which is scheduled for August 25-26, 2026</w:t>
      </w:r>
      <w:r w:rsidR="00F8299D">
        <w:rPr>
          <w:u w:val="none"/>
        </w:rPr>
        <w:t xml:space="preserve">. </w:t>
      </w:r>
      <w:r w:rsidR="00FB5097">
        <w:rPr>
          <w:u w:val="none"/>
        </w:rPr>
        <w:t xml:space="preserve">Whether FR’s testimony is sufficient is a question of weight for </w:t>
      </w:r>
      <w:r w:rsidR="00FB5097">
        <w:rPr>
          <w:u w:val="none"/>
        </w:rPr>
        <w:lastRenderedPageBreak/>
        <w:t xml:space="preserve">Commission to consider as the trier of fact at hearing. </w:t>
      </w:r>
      <w:r w:rsidR="00F8299D">
        <w:rPr>
          <w:u w:val="none"/>
        </w:rPr>
        <w:t xml:space="preserve">Consequently, </w:t>
      </w:r>
      <w:r w:rsidR="00413128">
        <w:rPr>
          <w:u w:val="none"/>
        </w:rPr>
        <w:t>DEF</w:t>
      </w:r>
      <w:r w:rsidR="00525B78">
        <w:rPr>
          <w:u w:val="none"/>
        </w:rPr>
        <w:t>’s</w:t>
      </w:r>
      <w:r w:rsidR="00413128">
        <w:rPr>
          <w:u w:val="none"/>
        </w:rPr>
        <w:t xml:space="preserve"> </w:t>
      </w:r>
      <w:r w:rsidR="00525B78">
        <w:rPr>
          <w:u w:val="none"/>
        </w:rPr>
        <w:t xml:space="preserve">Motion to Strike </w:t>
      </w:r>
      <w:r w:rsidR="00413128">
        <w:rPr>
          <w:u w:val="none"/>
        </w:rPr>
        <w:t xml:space="preserve">is </w:t>
      </w:r>
      <w:r w:rsidR="00FB5097">
        <w:rPr>
          <w:u w:val="none"/>
        </w:rPr>
        <w:t xml:space="preserve">hereby </w:t>
      </w:r>
      <w:r w:rsidR="00525B78">
        <w:rPr>
          <w:u w:val="none"/>
        </w:rPr>
        <w:t>denied.</w:t>
      </w:r>
    </w:p>
    <w:p w14:paraId="6C736F78" w14:textId="77777777" w:rsidR="004F0D29" w:rsidRPr="00817318" w:rsidRDefault="004F0D29" w:rsidP="00C85463">
      <w:pPr>
        <w:pStyle w:val="ListParagraph"/>
        <w:ind w:left="0"/>
        <w:jc w:val="both"/>
        <w:rPr>
          <w:rFonts w:ascii="Times New Roman" w:hAnsi="Times New Roman"/>
          <w:iCs/>
          <w:color w:val="212121"/>
        </w:rPr>
      </w:pPr>
    </w:p>
    <w:p w14:paraId="238835FF" w14:textId="77777777" w:rsidR="004F0D29" w:rsidRPr="00817318" w:rsidRDefault="004F0D29" w:rsidP="004F0D29">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14:paraId="3B8C5021" w14:textId="77777777" w:rsidR="004F0D29" w:rsidRPr="00817318" w:rsidRDefault="004F0D29" w:rsidP="004F0D29">
      <w:pPr>
        <w:pStyle w:val="ListParagraph"/>
        <w:ind w:left="0"/>
        <w:jc w:val="both"/>
        <w:rPr>
          <w:rFonts w:ascii="Times New Roman" w:hAnsi="Times New Roman"/>
          <w:iCs/>
          <w:color w:val="212121"/>
        </w:rPr>
      </w:pPr>
    </w:p>
    <w:p w14:paraId="58BC8C4B" w14:textId="296DE055" w:rsidR="00CB5276" w:rsidRDefault="004F0D29" w:rsidP="004F0D29">
      <w:pPr>
        <w:pStyle w:val="OrderBody"/>
        <w:rPr>
          <w:iCs/>
          <w:color w:val="212121"/>
        </w:rPr>
      </w:pPr>
      <w:r w:rsidRPr="00817318">
        <w:rPr>
          <w:iCs/>
          <w:color w:val="212121"/>
        </w:rPr>
        <w:tab/>
        <w:t>ORDERED by Commissioner</w:t>
      </w:r>
      <w:r>
        <w:rPr>
          <w:iCs/>
          <w:color w:val="212121"/>
        </w:rPr>
        <w:t xml:space="preserve"> Gary F. Clark</w:t>
      </w:r>
      <w:r w:rsidRPr="00817318">
        <w:rPr>
          <w:iCs/>
          <w:color w:val="212121"/>
        </w:rPr>
        <w:t xml:space="preserve">, as Prehearing Officer, that the </w:t>
      </w:r>
      <w:r>
        <w:rPr>
          <w:iCs/>
          <w:color w:val="212121"/>
        </w:rPr>
        <w:t xml:space="preserve">Motion </w:t>
      </w:r>
      <w:r w:rsidR="00525B78">
        <w:rPr>
          <w:iCs/>
          <w:color w:val="212121"/>
        </w:rPr>
        <w:t xml:space="preserve">to Strike Florida Rising, Inc. as an Intervening Party is denied. </w:t>
      </w:r>
    </w:p>
    <w:p w14:paraId="5BAFE101" w14:textId="77777777" w:rsidR="004F0D29" w:rsidRDefault="004F0D29" w:rsidP="004F0D29">
      <w:pPr>
        <w:pStyle w:val="OrderBody"/>
        <w:rPr>
          <w:iCs/>
          <w:color w:val="212121"/>
        </w:rPr>
      </w:pPr>
    </w:p>
    <w:p w14:paraId="23A9C90C" w14:textId="39B6FFFD" w:rsidR="004F0D29" w:rsidRDefault="004F0D29" w:rsidP="004F0D29">
      <w:pPr>
        <w:pStyle w:val="OrderBody"/>
        <w:keepNext/>
        <w:keepLines/>
        <w:rPr>
          <w:iCs/>
          <w:color w:val="212121"/>
        </w:rPr>
      </w:pPr>
      <w:r>
        <w:rPr>
          <w:iCs/>
          <w:color w:val="212121"/>
        </w:rPr>
        <w:tab/>
        <w:t xml:space="preserve">By ORDER of Commissioner Gary F. Clark, as Prehearing Officer, this </w:t>
      </w:r>
      <w:bookmarkStart w:id="6" w:name="replaceDate"/>
      <w:bookmarkEnd w:id="6"/>
      <w:r w:rsidR="001A217D">
        <w:rPr>
          <w:iCs/>
          <w:color w:val="212121"/>
          <w:u w:val="single"/>
        </w:rPr>
        <w:t>17th</w:t>
      </w:r>
      <w:r w:rsidR="001A217D">
        <w:rPr>
          <w:iCs/>
          <w:color w:val="212121"/>
        </w:rPr>
        <w:t xml:space="preserve"> day of </w:t>
      </w:r>
      <w:r w:rsidR="001A217D">
        <w:rPr>
          <w:iCs/>
          <w:color w:val="212121"/>
          <w:u w:val="single"/>
        </w:rPr>
        <w:t>July</w:t>
      </w:r>
      <w:r w:rsidR="001A217D">
        <w:rPr>
          <w:iCs/>
          <w:color w:val="212121"/>
        </w:rPr>
        <w:t xml:space="preserve">, </w:t>
      </w:r>
      <w:r w:rsidR="001A217D">
        <w:rPr>
          <w:iCs/>
          <w:color w:val="212121"/>
          <w:u w:val="single"/>
        </w:rPr>
        <w:t>2026</w:t>
      </w:r>
      <w:r w:rsidR="001A217D">
        <w:rPr>
          <w:iCs/>
          <w:color w:val="212121"/>
        </w:rPr>
        <w:t>.</w:t>
      </w:r>
    </w:p>
    <w:p w14:paraId="300AD61B" w14:textId="77777777" w:rsidR="001A217D" w:rsidRPr="001A217D" w:rsidRDefault="001A217D" w:rsidP="004F0D29">
      <w:pPr>
        <w:pStyle w:val="OrderBody"/>
        <w:keepNext/>
        <w:keepLines/>
        <w:rPr>
          <w:iCs/>
          <w:color w:val="212121"/>
        </w:rPr>
      </w:pPr>
    </w:p>
    <w:p w14:paraId="6829C9F6" w14:textId="77777777" w:rsidR="004F0D29" w:rsidRDefault="004F0D29" w:rsidP="004F0D29">
      <w:pPr>
        <w:pStyle w:val="OrderBody"/>
        <w:keepNext/>
        <w:keepLines/>
        <w:rPr>
          <w:iCs/>
          <w:color w:val="212121"/>
        </w:rPr>
      </w:pPr>
    </w:p>
    <w:p w14:paraId="7B3398DD" w14:textId="77777777" w:rsidR="004F0D29" w:rsidRDefault="004F0D29" w:rsidP="004F0D29">
      <w:pPr>
        <w:pStyle w:val="OrderBody"/>
        <w:keepNext/>
        <w:keepLines/>
        <w:rPr>
          <w:iCs/>
          <w:color w:val="212121"/>
        </w:rPr>
      </w:pPr>
    </w:p>
    <w:p w14:paraId="71235DD2" w14:textId="77777777" w:rsidR="001A217D" w:rsidRDefault="001A217D" w:rsidP="004F0D29">
      <w:pPr>
        <w:pStyle w:val="OrderBody"/>
        <w:keepNext/>
        <w:keepLines/>
        <w:rPr>
          <w:iCs/>
          <w:color w:val="212121"/>
        </w:rPr>
      </w:pPr>
    </w:p>
    <w:p w14:paraId="0E8D4578" w14:textId="77777777" w:rsidR="004F0D29" w:rsidRDefault="004F0D29" w:rsidP="004F0D29">
      <w:pPr>
        <w:pStyle w:val="OrderBody"/>
        <w:keepNext/>
        <w:keepLines/>
        <w:rPr>
          <w:iCs/>
          <w:color w:val="212121"/>
        </w:rPr>
      </w:pPr>
    </w:p>
    <w:tbl>
      <w:tblPr>
        <w:tblW w:w="4720" w:type="dxa"/>
        <w:tblInd w:w="3800" w:type="dxa"/>
        <w:tblLayout w:type="fixed"/>
        <w:tblLook w:val="0000" w:firstRow="0" w:lastRow="0" w:firstColumn="0" w:lastColumn="0" w:noHBand="0" w:noVBand="0"/>
      </w:tblPr>
      <w:tblGrid>
        <w:gridCol w:w="686"/>
        <w:gridCol w:w="4034"/>
      </w:tblGrid>
      <w:tr w:rsidR="004F0D29" w14:paraId="36255428" w14:textId="77777777" w:rsidTr="004F0D29">
        <w:tc>
          <w:tcPr>
            <w:tcW w:w="720" w:type="dxa"/>
            <w:shd w:val="clear" w:color="auto" w:fill="auto"/>
          </w:tcPr>
          <w:p w14:paraId="0EB48A31" w14:textId="77777777" w:rsidR="004F0D29" w:rsidRDefault="004F0D29" w:rsidP="004F0D29">
            <w:pPr>
              <w:pStyle w:val="OrderBody"/>
              <w:keepNext/>
              <w:keepLines/>
            </w:pPr>
            <w:bookmarkStart w:id="7" w:name="bkmrkSignature" w:colFirst="0" w:colLast="0"/>
          </w:p>
        </w:tc>
        <w:tc>
          <w:tcPr>
            <w:tcW w:w="4320" w:type="dxa"/>
            <w:tcBorders>
              <w:bottom w:val="single" w:sz="4" w:space="0" w:color="auto"/>
            </w:tcBorders>
            <w:shd w:val="clear" w:color="auto" w:fill="auto"/>
          </w:tcPr>
          <w:p w14:paraId="3F2629FB" w14:textId="3D810DF7" w:rsidR="004F0D29" w:rsidRDefault="008C4C40" w:rsidP="004F0D29">
            <w:pPr>
              <w:pStyle w:val="OrderBody"/>
              <w:keepNext/>
              <w:keepLines/>
            </w:pPr>
            <w:r>
              <w:t>/s/ Gary F. Clark</w:t>
            </w:r>
          </w:p>
        </w:tc>
      </w:tr>
      <w:bookmarkEnd w:id="7"/>
      <w:tr w:rsidR="004F0D29" w14:paraId="5B71D26D" w14:textId="77777777" w:rsidTr="004F0D29">
        <w:tc>
          <w:tcPr>
            <w:tcW w:w="720" w:type="dxa"/>
            <w:shd w:val="clear" w:color="auto" w:fill="auto"/>
          </w:tcPr>
          <w:p w14:paraId="511A516E" w14:textId="77777777" w:rsidR="004F0D29" w:rsidRDefault="004F0D29" w:rsidP="004F0D29">
            <w:pPr>
              <w:pStyle w:val="OrderBody"/>
              <w:keepNext/>
              <w:keepLines/>
            </w:pPr>
          </w:p>
        </w:tc>
        <w:tc>
          <w:tcPr>
            <w:tcW w:w="4320" w:type="dxa"/>
            <w:tcBorders>
              <w:top w:val="single" w:sz="4" w:space="0" w:color="auto"/>
            </w:tcBorders>
            <w:shd w:val="clear" w:color="auto" w:fill="auto"/>
          </w:tcPr>
          <w:p w14:paraId="4DABFD41" w14:textId="77777777" w:rsidR="004F0D29" w:rsidRDefault="004F0D29" w:rsidP="004F0D29">
            <w:pPr>
              <w:pStyle w:val="OrderBody"/>
              <w:keepNext/>
              <w:keepLines/>
            </w:pPr>
            <w:r>
              <w:t>GARY F. CLARK</w:t>
            </w:r>
          </w:p>
          <w:p w14:paraId="79B2CD10" w14:textId="5A1F7E81" w:rsidR="004F0D29" w:rsidRDefault="004F0D29" w:rsidP="004F0D29">
            <w:pPr>
              <w:pStyle w:val="OrderBody"/>
              <w:keepNext/>
              <w:keepLines/>
            </w:pPr>
            <w:r>
              <w:t>Commissioner and Prehearing Officer</w:t>
            </w:r>
          </w:p>
        </w:tc>
      </w:tr>
    </w:tbl>
    <w:p w14:paraId="5A8D3E79" w14:textId="77777777" w:rsidR="004F0D29" w:rsidRDefault="004F0D29" w:rsidP="004F0D29">
      <w:pPr>
        <w:pStyle w:val="OrderSigInfo"/>
        <w:keepNext/>
        <w:keepLines/>
      </w:pPr>
      <w:r>
        <w:t>Florida Public Service Commission</w:t>
      </w:r>
    </w:p>
    <w:p w14:paraId="3103D927" w14:textId="77777777" w:rsidR="004F0D29" w:rsidRDefault="004F0D29" w:rsidP="004F0D29">
      <w:pPr>
        <w:pStyle w:val="OrderSigInfo"/>
        <w:keepNext/>
        <w:keepLines/>
      </w:pPr>
      <w:r>
        <w:t>2540 Shumard Oak Boulevard</w:t>
      </w:r>
    </w:p>
    <w:p w14:paraId="6F7E806A" w14:textId="77777777" w:rsidR="004F0D29" w:rsidRDefault="004F0D29" w:rsidP="004F0D29">
      <w:pPr>
        <w:pStyle w:val="OrderSigInfo"/>
        <w:keepNext/>
        <w:keepLines/>
      </w:pPr>
      <w:r>
        <w:t>Tallahassee, Florida 32399</w:t>
      </w:r>
    </w:p>
    <w:p w14:paraId="2DA5AAA0" w14:textId="77777777" w:rsidR="004F0D29" w:rsidRDefault="004F0D29" w:rsidP="004F0D29">
      <w:pPr>
        <w:pStyle w:val="OrderSigInfo"/>
        <w:keepNext/>
        <w:keepLines/>
      </w:pPr>
      <w:r>
        <w:t>(850) 413</w:t>
      </w:r>
      <w:r>
        <w:noBreakHyphen/>
        <w:t>6770</w:t>
      </w:r>
    </w:p>
    <w:p w14:paraId="659C4E66" w14:textId="77777777" w:rsidR="004F0D29" w:rsidRDefault="004F0D29" w:rsidP="004F0D29">
      <w:pPr>
        <w:pStyle w:val="OrderSigInfo"/>
        <w:keepNext/>
        <w:keepLines/>
      </w:pPr>
      <w:r>
        <w:t>www.floridapsc.com</w:t>
      </w:r>
    </w:p>
    <w:p w14:paraId="03A579A1" w14:textId="77777777" w:rsidR="004F0D29" w:rsidRDefault="004F0D29" w:rsidP="004F0D29">
      <w:pPr>
        <w:pStyle w:val="OrderSigInfo"/>
        <w:keepNext/>
        <w:keepLines/>
      </w:pPr>
    </w:p>
    <w:p w14:paraId="61EB5A8F" w14:textId="77777777" w:rsidR="004F0D29" w:rsidRDefault="004F0D29" w:rsidP="004F0D29">
      <w:pPr>
        <w:pStyle w:val="OrderSigInfo"/>
        <w:keepNext/>
        <w:keepLines/>
      </w:pPr>
      <w:r>
        <w:t>Copies furnished:  A copy of this document is provided to the parties of record at the time of issuance and, if applicable, interested persons.</w:t>
      </w:r>
    </w:p>
    <w:p w14:paraId="41CB4ACC" w14:textId="3F56042F" w:rsidR="004F0D29" w:rsidRDefault="004F0D29" w:rsidP="004F0D29">
      <w:pPr>
        <w:pStyle w:val="OrderBody"/>
        <w:keepNext/>
        <w:keepLines/>
      </w:pPr>
    </w:p>
    <w:p w14:paraId="5CE4F9CE" w14:textId="77777777" w:rsidR="004F0D29" w:rsidRDefault="004F0D29" w:rsidP="004F0D29">
      <w:pPr>
        <w:pStyle w:val="OrderBody"/>
        <w:keepNext/>
        <w:keepLines/>
      </w:pPr>
    </w:p>
    <w:p w14:paraId="3D6D4F8F" w14:textId="33C6C58D" w:rsidR="004F0D29" w:rsidRDefault="004F0D29" w:rsidP="004F0D29">
      <w:pPr>
        <w:pStyle w:val="OrderBody"/>
        <w:keepNext/>
        <w:keepLines/>
      </w:pPr>
      <w:r>
        <w:t>MRT/SF</w:t>
      </w:r>
    </w:p>
    <w:p w14:paraId="6B2116A2" w14:textId="77777777" w:rsidR="004F0D29" w:rsidRDefault="004F0D29" w:rsidP="004F0D29">
      <w:pPr>
        <w:pStyle w:val="OrderBody"/>
      </w:pPr>
    </w:p>
    <w:p w14:paraId="70260C41" w14:textId="77777777" w:rsidR="004F0D29" w:rsidRDefault="004F0D29" w:rsidP="004F0D29">
      <w:pPr>
        <w:pStyle w:val="OrderBody"/>
      </w:pPr>
    </w:p>
    <w:p w14:paraId="2BEEFC6F" w14:textId="77777777" w:rsidR="0068094F" w:rsidRDefault="0068094F">
      <w:pPr>
        <w:rPr>
          <w:u w:val="single"/>
        </w:rPr>
      </w:pPr>
      <w:r>
        <w:br w:type="page"/>
      </w:r>
    </w:p>
    <w:p w14:paraId="14F84B75" w14:textId="15C11929" w:rsidR="004F0D29" w:rsidRDefault="004F0D29" w:rsidP="004F0D29">
      <w:pPr>
        <w:pStyle w:val="CenterUnderline"/>
      </w:pPr>
      <w:r>
        <w:lastRenderedPageBreak/>
        <w:t>NOTICE OF FURTHER PROCEEDINGS OR JUDICIAL REVIEW</w:t>
      </w:r>
    </w:p>
    <w:p w14:paraId="670AE8C8" w14:textId="3B2852AB" w:rsidR="004F0D29" w:rsidRDefault="004F0D29" w:rsidP="004F0D29">
      <w:pPr>
        <w:pStyle w:val="CenterUnderline"/>
      </w:pPr>
    </w:p>
    <w:p w14:paraId="0841AA65" w14:textId="77777777" w:rsidR="004F0D29" w:rsidRDefault="004F0D29" w:rsidP="004F0D29">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26636E5" w14:textId="77777777" w:rsidR="004F0D29" w:rsidRDefault="004F0D29" w:rsidP="004F0D29">
      <w:pPr>
        <w:pStyle w:val="OrderBody"/>
      </w:pPr>
    </w:p>
    <w:p w14:paraId="7F9F7355" w14:textId="77777777" w:rsidR="004F0D29" w:rsidRDefault="004F0D29" w:rsidP="004F0D29">
      <w:pPr>
        <w:pStyle w:val="OrderBody"/>
      </w:pPr>
      <w:r>
        <w:tab/>
        <w:t>Mediation may be available on a case-by-case basis.  If mediation is conducted, it does not affect a substantially interested person's right to a hearing.</w:t>
      </w:r>
    </w:p>
    <w:p w14:paraId="7BC14BB4" w14:textId="77777777" w:rsidR="004F0D29" w:rsidRDefault="004F0D29" w:rsidP="004F0D29">
      <w:pPr>
        <w:pStyle w:val="OrderBody"/>
      </w:pPr>
    </w:p>
    <w:p w14:paraId="75949A96" w14:textId="77777777" w:rsidR="004F0D29" w:rsidRDefault="004F0D29" w:rsidP="004F0D29">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68BD12D" w14:textId="77777777" w:rsidR="004F0D29" w:rsidRDefault="004F0D29" w:rsidP="004F0D29">
      <w:pPr>
        <w:pStyle w:val="OrderBody"/>
      </w:pPr>
    </w:p>
    <w:sectPr w:rsidR="004F0D29">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DFA4" w14:textId="77777777" w:rsidR="00F37109" w:rsidRDefault="00F37109">
      <w:r>
        <w:separator/>
      </w:r>
    </w:p>
  </w:endnote>
  <w:endnote w:type="continuationSeparator" w:id="0">
    <w:p w14:paraId="40DAF759" w14:textId="77777777" w:rsidR="00F37109" w:rsidRDefault="00F3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66CE2" w14:textId="77777777" w:rsidR="00F37109" w:rsidRDefault="00F37109">
      <w:r>
        <w:separator/>
      </w:r>
    </w:p>
  </w:footnote>
  <w:footnote w:type="continuationSeparator" w:id="0">
    <w:p w14:paraId="6DE6CF91" w14:textId="77777777" w:rsidR="00F37109" w:rsidRDefault="00F37109">
      <w:r>
        <w:continuationSeparator/>
      </w:r>
    </w:p>
  </w:footnote>
  <w:footnote w:id="1">
    <w:p w14:paraId="6BAF07C6" w14:textId="6786B61A" w:rsidR="006952CB" w:rsidRDefault="006952CB">
      <w:pPr>
        <w:pStyle w:val="FootnoteText"/>
      </w:pPr>
      <w:r>
        <w:rPr>
          <w:rStyle w:val="FootnoteReference"/>
        </w:rPr>
        <w:footnoteRef/>
      </w:r>
      <w:r>
        <w:t xml:space="preserve"> The 190 member estimate is based on a </w:t>
      </w:r>
      <w:r w:rsidRPr="0068094F">
        <w:rPr>
          <w:i/>
          <w:iCs/>
        </w:rPr>
        <w:t>pro rata</w:t>
      </w:r>
      <w:r>
        <w:t xml:space="preserve"> calculation where the percentage of DEF customers in each Florida county is applied to the FR member count for each respective county. For example, in Orange County, DEF serves 434,749 customers out of the 672,416 that reside in the county (approximately 64.65%). Per witness Negr</w:t>
      </w:r>
      <w:r w:rsidRPr="004F4098">
        <w:t>ó</w:t>
      </w:r>
      <w:r>
        <w:t xml:space="preserve">n’s testimony, FR applies this </w:t>
      </w:r>
      <w:r w:rsidRPr="0068094F">
        <w:rPr>
          <w:i/>
          <w:iCs/>
        </w:rPr>
        <w:t>pro rata</w:t>
      </w:r>
      <w:r>
        <w:t xml:space="preserve"> proportion to 125 members in Orange County to estimate that approximately 80 customers in Orange County are both DEF customers and FR members. Across all counties, this process estimates approximately 190 members of FR are also DEF customers according to FR’s testimony.</w:t>
      </w:r>
    </w:p>
  </w:footnote>
  <w:footnote w:id="2">
    <w:p w14:paraId="1902BD2C" w14:textId="77777777" w:rsidR="00F8299D" w:rsidRPr="00525B78" w:rsidRDefault="00F8299D" w:rsidP="00F8299D">
      <w:pPr>
        <w:pStyle w:val="FootnoteText"/>
      </w:pPr>
      <w:r>
        <w:rPr>
          <w:rStyle w:val="FootnoteReference"/>
        </w:rPr>
        <w:footnoteRef/>
      </w:r>
      <w:r>
        <w:t xml:space="preserve"> Order No. PSC-2026-0233-PCO-EI.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5537" w14:textId="1351270B" w:rsidR="00FA6EFD" w:rsidRDefault="00FA6EFD">
    <w:pPr>
      <w:pStyle w:val="OrderHeader"/>
    </w:pPr>
    <w:r>
      <w:t xml:space="preserve">ORDER NO. </w:t>
    </w:r>
    <w:r w:rsidR="001A217D">
      <w:fldChar w:fldCharType="begin"/>
    </w:r>
    <w:r w:rsidR="001A217D">
      <w:instrText xml:space="preserve"> REF OrderNo0253 </w:instrText>
    </w:r>
    <w:r w:rsidR="001A217D">
      <w:fldChar w:fldCharType="separate"/>
    </w:r>
    <w:r w:rsidR="008C4C40">
      <w:t>PSC-2026-0253-PCO-EI</w:t>
    </w:r>
    <w:r w:rsidR="001A217D">
      <w:fldChar w:fldCharType="end"/>
    </w:r>
  </w:p>
  <w:p w14:paraId="0621ED96" w14:textId="68236B62" w:rsidR="00FA6EFD" w:rsidRDefault="004F0D29">
    <w:pPr>
      <w:pStyle w:val="OrderHeader"/>
    </w:pPr>
    <w:bookmarkStart w:id="8" w:name="HeaderDocketNo"/>
    <w:bookmarkEnd w:id="8"/>
    <w:r>
      <w:t>DOCKET NO. 20260064-EI</w:t>
    </w:r>
  </w:p>
  <w:p w14:paraId="5EA4355C"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C9FE828"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4-EI"/>
  </w:docVars>
  <w:rsids>
    <w:rsidRoot w:val="004F0D29"/>
    <w:rsid w:val="000003EA"/>
    <w:rsid w:val="000022B8"/>
    <w:rsid w:val="00003883"/>
    <w:rsid w:val="000048E2"/>
    <w:rsid w:val="0001049A"/>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0129"/>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388D"/>
    <w:rsid w:val="00104333"/>
    <w:rsid w:val="00104765"/>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5387"/>
    <w:rsid w:val="00146A7F"/>
    <w:rsid w:val="001513DE"/>
    <w:rsid w:val="00154A71"/>
    <w:rsid w:val="001562B9"/>
    <w:rsid w:val="001655D4"/>
    <w:rsid w:val="00165803"/>
    <w:rsid w:val="00185F09"/>
    <w:rsid w:val="00187E32"/>
    <w:rsid w:val="001918FF"/>
    <w:rsid w:val="00194420"/>
    <w:rsid w:val="00194A97"/>
    <w:rsid w:val="00194E81"/>
    <w:rsid w:val="001A15E7"/>
    <w:rsid w:val="001A217D"/>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2403"/>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6788"/>
    <w:rsid w:val="002613E4"/>
    <w:rsid w:val="00262C43"/>
    <w:rsid w:val="00262F41"/>
    <w:rsid w:val="0026544B"/>
    <w:rsid w:val="00270F89"/>
    <w:rsid w:val="00272BC3"/>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0F55"/>
    <w:rsid w:val="003137B9"/>
    <w:rsid w:val="00313C5B"/>
    <w:rsid w:val="003140E8"/>
    <w:rsid w:val="003144B7"/>
    <w:rsid w:val="00321702"/>
    <w:rsid w:val="003231C7"/>
    <w:rsid w:val="00323839"/>
    <w:rsid w:val="003270C4"/>
    <w:rsid w:val="00331ED0"/>
    <w:rsid w:val="00332B0A"/>
    <w:rsid w:val="00333A41"/>
    <w:rsid w:val="00341036"/>
    <w:rsid w:val="00344C0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5CC"/>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3128"/>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1BB"/>
    <w:rsid w:val="00457DC7"/>
    <w:rsid w:val="004640B3"/>
    <w:rsid w:val="00467A2F"/>
    <w:rsid w:val="004704F4"/>
    <w:rsid w:val="00472BCC"/>
    <w:rsid w:val="00477699"/>
    <w:rsid w:val="00480710"/>
    <w:rsid w:val="004917C8"/>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0D29"/>
    <w:rsid w:val="004F2DDE"/>
    <w:rsid w:val="004F3AA8"/>
    <w:rsid w:val="004F4098"/>
    <w:rsid w:val="004F4E53"/>
    <w:rsid w:val="004F5A55"/>
    <w:rsid w:val="004F6426"/>
    <w:rsid w:val="004F7826"/>
    <w:rsid w:val="0050097F"/>
    <w:rsid w:val="0050195F"/>
    <w:rsid w:val="00504845"/>
    <w:rsid w:val="00505D83"/>
    <w:rsid w:val="00507A8F"/>
    <w:rsid w:val="00511872"/>
    <w:rsid w:val="00511D5E"/>
    <w:rsid w:val="00512879"/>
    <w:rsid w:val="00513EC1"/>
    <w:rsid w:val="00514B1F"/>
    <w:rsid w:val="00523C5C"/>
    <w:rsid w:val="00524884"/>
    <w:rsid w:val="00525B78"/>
    <w:rsid w:val="00525E93"/>
    <w:rsid w:val="0052671D"/>
    <w:rsid w:val="005300C0"/>
    <w:rsid w:val="00533EF6"/>
    <w:rsid w:val="00540B41"/>
    <w:rsid w:val="00540E6B"/>
    <w:rsid w:val="0054109E"/>
    <w:rsid w:val="00542DCB"/>
    <w:rsid w:val="00543CC0"/>
    <w:rsid w:val="00547ACC"/>
    <w:rsid w:val="0055595D"/>
    <w:rsid w:val="00556A10"/>
    <w:rsid w:val="00557F50"/>
    <w:rsid w:val="005645FC"/>
    <w:rsid w:val="00571D3D"/>
    <w:rsid w:val="00573194"/>
    <w:rsid w:val="00574379"/>
    <w:rsid w:val="00580BCD"/>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C6460"/>
    <w:rsid w:val="005D4E1B"/>
    <w:rsid w:val="005D59A3"/>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094F"/>
    <w:rsid w:val="00684AE3"/>
    <w:rsid w:val="00692E1A"/>
    <w:rsid w:val="00693483"/>
    <w:rsid w:val="006952CB"/>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36C"/>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55C5"/>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077A4"/>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65FD2"/>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4C40"/>
    <w:rsid w:val="008C6375"/>
    <w:rsid w:val="008C6A5B"/>
    <w:rsid w:val="008D441D"/>
    <w:rsid w:val="008D498D"/>
    <w:rsid w:val="008D6D36"/>
    <w:rsid w:val="008D791F"/>
    <w:rsid w:val="008E0582"/>
    <w:rsid w:val="008E0693"/>
    <w:rsid w:val="008E26A5"/>
    <w:rsid w:val="008E42D2"/>
    <w:rsid w:val="008E6328"/>
    <w:rsid w:val="008E7A10"/>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3390"/>
    <w:rsid w:val="00964A38"/>
    <w:rsid w:val="00966A9D"/>
    <w:rsid w:val="0096742B"/>
    <w:rsid w:val="00967C64"/>
    <w:rsid w:val="0097135D"/>
    <w:rsid w:val="009718C5"/>
    <w:rsid w:val="00976AFF"/>
    <w:rsid w:val="009823BE"/>
    <w:rsid w:val="009839C1"/>
    <w:rsid w:val="00986AED"/>
    <w:rsid w:val="00990084"/>
    <w:rsid w:val="009924CF"/>
    <w:rsid w:val="00993130"/>
    <w:rsid w:val="00994100"/>
    <w:rsid w:val="009A04B7"/>
    <w:rsid w:val="009A2304"/>
    <w:rsid w:val="009A34A5"/>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631D"/>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1614"/>
    <w:rsid w:val="00BE50E6"/>
    <w:rsid w:val="00BE7A0C"/>
    <w:rsid w:val="00BF2928"/>
    <w:rsid w:val="00BF4462"/>
    <w:rsid w:val="00BF5D60"/>
    <w:rsid w:val="00BF6691"/>
    <w:rsid w:val="00C028FC"/>
    <w:rsid w:val="00C037F2"/>
    <w:rsid w:val="00C0386D"/>
    <w:rsid w:val="00C065A1"/>
    <w:rsid w:val="00C06FB1"/>
    <w:rsid w:val="00C10ED5"/>
    <w:rsid w:val="00C12574"/>
    <w:rsid w:val="00C12CB3"/>
    <w:rsid w:val="00C151A6"/>
    <w:rsid w:val="00C1767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0B6C"/>
    <w:rsid w:val="00C72339"/>
    <w:rsid w:val="00C820BC"/>
    <w:rsid w:val="00C82247"/>
    <w:rsid w:val="00C82D5F"/>
    <w:rsid w:val="00C830BC"/>
    <w:rsid w:val="00C8524D"/>
    <w:rsid w:val="00C85463"/>
    <w:rsid w:val="00C90904"/>
    <w:rsid w:val="00C91123"/>
    <w:rsid w:val="00C94E80"/>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48F1"/>
    <w:rsid w:val="00D15497"/>
    <w:rsid w:val="00D17B79"/>
    <w:rsid w:val="00D205F5"/>
    <w:rsid w:val="00D23FEA"/>
    <w:rsid w:val="00D269CA"/>
    <w:rsid w:val="00D30B48"/>
    <w:rsid w:val="00D3168A"/>
    <w:rsid w:val="00D3213F"/>
    <w:rsid w:val="00D350D1"/>
    <w:rsid w:val="00D442CE"/>
    <w:rsid w:val="00D46FAA"/>
    <w:rsid w:val="00D47A40"/>
    <w:rsid w:val="00D50507"/>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6FB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21089"/>
    <w:rsid w:val="00E33F44"/>
    <w:rsid w:val="00E37D48"/>
    <w:rsid w:val="00E4225C"/>
    <w:rsid w:val="00E44879"/>
    <w:rsid w:val="00E61530"/>
    <w:rsid w:val="00E72914"/>
    <w:rsid w:val="00E7354F"/>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103F6"/>
    <w:rsid w:val="00F22B27"/>
    <w:rsid w:val="00F22D13"/>
    <w:rsid w:val="00F234A7"/>
    <w:rsid w:val="00F277B6"/>
    <w:rsid w:val="00F27DA5"/>
    <w:rsid w:val="00F3433D"/>
    <w:rsid w:val="00F37109"/>
    <w:rsid w:val="00F37E07"/>
    <w:rsid w:val="00F4182A"/>
    <w:rsid w:val="00F449C6"/>
    <w:rsid w:val="00F464ED"/>
    <w:rsid w:val="00F54380"/>
    <w:rsid w:val="00F54B47"/>
    <w:rsid w:val="00F5538C"/>
    <w:rsid w:val="00F61247"/>
    <w:rsid w:val="00F61F61"/>
    <w:rsid w:val="00F63191"/>
    <w:rsid w:val="00F6702E"/>
    <w:rsid w:val="00F70E84"/>
    <w:rsid w:val="00F80685"/>
    <w:rsid w:val="00F8299D"/>
    <w:rsid w:val="00F94968"/>
    <w:rsid w:val="00FA092B"/>
    <w:rsid w:val="00FA4F6C"/>
    <w:rsid w:val="00FA6EFD"/>
    <w:rsid w:val="00FB2A8E"/>
    <w:rsid w:val="00FB3791"/>
    <w:rsid w:val="00FB5097"/>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41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4F0D29"/>
    <w:pPr>
      <w:ind w:left="720"/>
      <w:contextualSpacing/>
    </w:pPr>
    <w:rPr>
      <w:rFonts w:ascii="Calibri" w:eastAsia="Calibri" w:hAnsi="Calibri"/>
    </w:rPr>
  </w:style>
  <w:style w:type="paragraph" w:styleId="Revision">
    <w:name w:val="Revision"/>
    <w:hidden/>
    <w:uiPriority w:val="99"/>
    <w:semiHidden/>
    <w:rsid w:val="00BE1614"/>
    <w:rPr>
      <w:sz w:val="24"/>
      <w:szCs w:val="24"/>
    </w:rPr>
  </w:style>
  <w:style w:type="character" w:styleId="CommentReference">
    <w:name w:val="annotation reference"/>
    <w:basedOn w:val="DefaultParagraphFont"/>
    <w:semiHidden/>
    <w:unhideWhenUsed/>
    <w:rsid w:val="007855C5"/>
    <w:rPr>
      <w:sz w:val="16"/>
      <w:szCs w:val="16"/>
    </w:rPr>
  </w:style>
  <w:style w:type="paragraph" w:styleId="CommentText">
    <w:name w:val="annotation text"/>
    <w:basedOn w:val="Normal"/>
    <w:link w:val="CommentTextChar"/>
    <w:unhideWhenUsed/>
    <w:rsid w:val="007855C5"/>
    <w:rPr>
      <w:sz w:val="20"/>
      <w:szCs w:val="20"/>
    </w:rPr>
  </w:style>
  <w:style w:type="character" w:customStyle="1" w:styleId="CommentTextChar">
    <w:name w:val="Comment Text Char"/>
    <w:basedOn w:val="DefaultParagraphFont"/>
    <w:link w:val="CommentText"/>
    <w:rsid w:val="007855C5"/>
  </w:style>
  <w:style w:type="paragraph" w:styleId="CommentSubject">
    <w:name w:val="annotation subject"/>
    <w:basedOn w:val="CommentText"/>
    <w:next w:val="CommentText"/>
    <w:link w:val="CommentSubjectChar"/>
    <w:semiHidden/>
    <w:unhideWhenUsed/>
    <w:rsid w:val="007855C5"/>
    <w:rPr>
      <w:b/>
      <w:bCs/>
    </w:rPr>
  </w:style>
  <w:style w:type="character" w:customStyle="1" w:styleId="CommentSubjectChar">
    <w:name w:val="Comment Subject Char"/>
    <w:basedOn w:val="CommentTextChar"/>
    <w:link w:val="CommentSubject"/>
    <w:semiHidden/>
    <w:rsid w:val="007855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140779693">
      <w:bodyDiv w:val="1"/>
      <w:marLeft w:val="0"/>
      <w:marRight w:val="0"/>
      <w:marTop w:val="0"/>
      <w:marBottom w:val="0"/>
      <w:divBdr>
        <w:top w:val="none" w:sz="0" w:space="0" w:color="auto"/>
        <w:left w:val="none" w:sz="0" w:space="0" w:color="auto"/>
        <w:bottom w:val="none" w:sz="0" w:space="0" w:color="auto"/>
        <w:right w:val="none" w:sz="0" w:space="0" w:color="auto"/>
      </w:divBdr>
    </w:div>
    <w:div w:id="401106105">
      <w:bodyDiv w:val="1"/>
      <w:marLeft w:val="0"/>
      <w:marRight w:val="0"/>
      <w:marTop w:val="0"/>
      <w:marBottom w:val="0"/>
      <w:divBdr>
        <w:top w:val="none" w:sz="0" w:space="0" w:color="auto"/>
        <w:left w:val="none" w:sz="0" w:space="0" w:color="auto"/>
        <w:bottom w:val="none" w:sz="0" w:space="0" w:color="auto"/>
        <w:right w:val="none" w:sz="0" w:space="0" w:color="auto"/>
      </w:divBdr>
    </w:div>
    <w:div w:id="1238856898">
      <w:bodyDiv w:val="1"/>
      <w:marLeft w:val="0"/>
      <w:marRight w:val="0"/>
      <w:marTop w:val="0"/>
      <w:marBottom w:val="0"/>
      <w:divBdr>
        <w:top w:val="none" w:sz="0" w:space="0" w:color="auto"/>
        <w:left w:val="none" w:sz="0" w:space="0" w:color="auto"/>
        <w:bottom w:val="none" w:sz="0" w:space="0" w:color="auto"/>
        <w:right w:val="none" w:sz="0" w:space="0" w:color="auto"/>
      </w:divBdr>
    </w:div>
    <w:div w:id="135156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68C0A-CB17-46FB-A84E-036F8CF15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1137</Words>
  <Characters>6482</Characters>
  <Application>Microsoft Office Word</Application>
  <DocSecurity>0</DocSecurity>
  <Lines>54</Lines>
  <Paragraphs>15</Paragraphs>
  <ScaleCrop>false</ScaleCrop>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2026-07-17T14:59:00Z</dcterms:created>
  <dcterms:modified xsi:type="dcterms:W3CDTF">2026-07-17T15:07:00Z</dcterms:modified>
</cp:coreProperties>
</file>