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2D3E" w14:textId="77777777" w:rsidR="00B32EE4" w:rsidRDefault="00B32EE4" w:rsidP="00B32EE4">
      <w:pPr>
        <w:pStyle w:val="OrderHeading"/>
      </w:pPr>
      <w:r>
        <w:t>BEFORE THE FLORIDA PUBLIC SERVICE COMMISSION</w:t>
      </w:r>
    </w:p>
    <w:p w14:paraId="7B9F772F" w14:textId="77777777" w:rsidR="00B32EE4" w:rsidRDefault="00B32EE4" w:rsidP="00B32EE4">
      <w:pPr>
        <w:pStyle w:val="OrderBody"/>
      </w:pPr>
    </w:p>
    <w:p w14:paraId="7EF704C6" w14:textId="77777777" w:rsidR="00B32EE4" w:rsidRDefault="00B32EE4" w:rsidP="00B32EE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32EE4" w:rsidRPr="00C63FCF" w14:paraId="274CFA02" w14:textId="77777777" w:rsidTr="00C63FCF">
        <w:trPr>
          <w:trHeight w:val="828"/>
        </w:trPr>
        <w:tc>
          <w:tcPr>
            <w:tcW w:w="4788" w:type="dxa"/>
            <w:tcBorders>
              <w:bottom w:val="single" w:sz="8" w:space="0" w:color="auto"/>
              <w:right w:val="double" w:sz="6" w:space="0" w:color="auto"/>
            </w:tcBorders>
            <w:shd w:val="clear" w:color="auto" w:fill="auto"/>
          </w:tcPr>
          <w:p w14:paraId="657F2C58" w14:textId="2C6CE8F9" w:rsidR="00B32EE4" w:rsidRDefault="00B32EE4"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5AD51518" w14:textId="693254B2" w:rsidR="00B32EE4" w:rsidRDefault="00B32EE4" w:rsidP="00B32EE4">
            <w:pPr>
              <w:pStyle w:val="OrderBody"/>
            </w:pPr>
            <w:r>
              <w:t xml:space="preserve">DOCKET NO. </w:t>
            </w:r>
            <w:bookmarkStart w:id="1" w:name="SSDocketNo"/>
            <w:bookmarkEnd w:id="1"/>
            <w:r>
              <w:t>20260064-EI</w:t>
            </w:r>
          </w:p>
          <w:p w14:paraId="3B970D7D" w14:textId="1F02EA59" w:rsidR="00B32EE4" w:rsidRDefault="00B32EE4" w:rsidP="00C63FCF">
            <w:pPr>
              <w:pStyle w:val="OrderBody"/>
              <w:tabs>
                <w:tab w:val="center" w:pos="4320"/>
                <w:tab w:val="right" w:pos="8640"/>
              </w:tabs>
              <w:jc w:val="left"/>
            </w:pPr>
            <w:r>
              <w:t xml:space="preserve">ORDER NO. </w:t>
            </w:r>
            <w:bookmarkStart w:id="2" w:name="OrderNo0288"/>
            <w:r w:rsidR="002C2531">
              <w:t>PSC-2026-0288-PCO-EI</w:t>
            </w:r>
            <w:bookmarkEnd w:id="2"/>
          </w:p>
          <w:p w14:paraId="2CED5119" w14:textId="4DE525A8" w:rsidR="00B32EE4" w:rsidRDefault="00B32EE4" w:rsidP="00C63FCF">
            <w:pPr>
              <w:pStyle w:val="OrderBody"/>
              <w:tabs>
                <w:tab w:val="center" w:pos="4320"/>
                <w:tab w:val="right" w:pos="8640"/>
              </w:tabs>
              <w:jc w:val="left"/>
            </w:pPr>
            <w:r>
              <w:t xml:space="preserve">ISSUED: </w:t>
            </w:r>
            <w:r w:rsidR="002C2531">
              <w:t>August 24, 2026</w:t>
            </w:r>
          </w:p>
        </w:tc>
      </w:tr>
    </w:tbl>
    <w:p w14:paraId="1805AA8F" w14:textId="77777777" w:rsidR="00B32EE4" w:rsidRDefault="00B32EE4" w:rsidP="00B32EE4"/>
    <w:p w14:paraId="68CCCE00" w14:textId="39652F8E" w:rsidR="00CB5276" w:rsidRDefault="00B32EE4" w:rsidP="00B32EE4">
      <w:pPr>
        <w:pStyle w:val="CenterUnderline"/>
      </w:pPr>
      <w:bookmarkStart w:id="3" w:name="Commissioners"/>
      <w:bookmarkEnd w:id="3"/>
      <w:r>
        <w:t>ORDER</w:t>
      </w:r>
      <w:bookmarkStart w:id="4" w:name="OrderTitle"/>
      <w:r>
        <w:t xml:space="preserve"> ON STANDING </w:t>
      </w:r>
      <w:bookmarkEnd w:id="4"/>
    </w:p>
    <w:p w14:paraId="4561629A" w14:textId="77777777" w:rsidR="00B32EE4" w:rsidRDefault="00B32EE4" w:rsidP="00B32EE4">
      <w:pPr>
        <w:pStyle w:val="OrderBody"/>
      </w:pPr>
    </w:p>
    <w:p w14:paraId="4E0A62CA" w14:textId="0AA44B58" w:rsidR="00B32EE4" w:rsidRPr="00E11DA4" w:rsidRDefault="00B677F9" w:rsidP="00DF3171">
      <w:pPr>
        <w:pStyle w:val="CenterUnderline"/>
        <w:rPr>
          <w:bCs/>
        </w:rPr>
      </w:pPr>
      <w:bookmarkStart w:id="5" w:name="OrderText"/>
      <w:bookmarkEnd w:id="5"/>
      <w:r w:rsidRPr="00E11DA4">
        <w:rPr>
          <w:bCs/>
        </w:rPr>
        <w:t>Background</w:t>
      </w:r>
    </w:p>
    <w:p w14:paraId="65AF4B6E" w14:textId="77777777" w:rsidR="00B677F9" w:rsidRDefault="00B677F9" w:rsidP="00B32EE4">
      <w:pPr>
        <w:pStyle w:val="CenterUnderline"/>
        <w:jc w:val="left"/>
        <w:rPr>
          <w:bCs/>
          <w:u w:val="none"/>
        </w:rPr>
      </w:pPr>
    </w:p>
    <w:p w14:paraId="79B77C13" w14:textId="2225AC80" w:rsidR="0056260A" w:rsidRDefault="00B677F9" w:rsidP="0056260A">
      <w:pPr>
        <w:pStyle w:val="CenterUnderline"/>
        <w:jc w:val="both"/>
        <w:rPr>
          <w:bCs/>
          <w:u w:val="none"/>
        </w:rPr>
      </w:pPr>
      <w:r>
        <w:rPr>
          <w:bCs/>
          <w:u w:val="none"/>
        </w:rPr>
        <w:tab/>
      </w:r>
      <w:r w:rsidR="0056260A" w:rsidRPr="0056260A">
        <w:rPr>
          <w:bCs/>
          <w:u w:val="none"/>
        </w:rPr>
        <w:t>On April 22, 2026, Duke Energy Florida, LLC (DEF or Utility) filed a petition for</w:t>
      </w:r>
      <w:r w:rsidR="0056260A">
        <w:rPr>
          <w:bCs/>
          <w:u w:val="none"/>
        </w:rPr>
        <w:t xml:space="preserve"> </w:t>
      </w:r>
      <w:r w:rsidR="0056260A" w:rsidRPr="0056260A">
        <w:rPr>
          <w:bCs/>
          <w:u w:val="none"/>
        </w:rPr>
        <w:t>a limited proceeding seeking approval of a new Large Load Customer Policy (LLCP), a Large</w:t>
      </w:r>
      <w:r w:rsidR="0056260A">
        <w:rPr>
          <w:bCs/>
          <w:u w:val="none"/>
        </w:rPr>
        <w:t xml:space="preserve"> </w:t>
      </w:r>
      <w:r w:rsidR="0056260A" w:rsidRPr="0056260A">
        <w:rPr>
          <w:bCs/>
          <w:u w:val="none"/>
        </w:rPr>
        <w:t>Load Customer Agreement (LLCA), and revised Contribution in Aid of Construction (CIAC)</w:t>
      </w:r>
      <w:r w:rsidR="0056260A">
        <w:rPr>
          <w:bCs/>
          <w:u w:val="none"/>
        </w:rPr>
        <w:t xml:space="preserve"> </w:t>
      </w:r>
      <w:r w:rsidR="0056260A" w:rsidRPr="0056260A">
        <w:rPr>
          <w:bCs/>
          <w:u w:val="none"/>
        </w:rPr>
        <w:t>tariffs. DEF states that this filing complies with newly passed state legislation, Senate Bill 484</w:t>
      </w:r>
      <w:r w:rsidR="0056260A">
        <w:rPr>
          <w:bCs/>
          <w:u w:val="none"/>
        </w:rPr>
        <w:t xml:space="preserve"> </w:t>
      </w:r>
      <w:r w:rsidR="0056260A" w:rsidRPr="0056260A">
        <w:rPr>
          <w:bCs/>
          <w:u w:val="none"/>
        </w:rPr>
        <w:t>(SB 484). The Governor signed SB 484 into law on May 7, 2026, which t</w:t>
      </w:r>
      <w:r w:rsidR="00890815">
        <w:rPr>
          <w:bCs/>
          <w:u w:val="none"/>
        </w:rPr>
        <w:t>ook</w:t>
      </w:r>
      <w:r w:rsidR="0056260A" w:rsidRPr="0056260A">
        <w:rPr>
          <w:bCs/>
          <w:u w:val="none"/>
        </w:rPr>
        <w:t xml:space="preserve"> effect on July 1,</w:t>
      </w:r>
      <w:r w:rsidR="0056260A">
        <w:rPr>
          <w:bCs/>
          <w:u w:val="none"/>
        </w:rPr>
        <w:t xml:space="preserve"> </w:t>
      </w:r>
      <w:r w:rsidR="0056260A" w:rsidRPr="0056260A">
        <w:rPr>
          <w:bCs/>
          <w:u w:val="none"/>
        </w:rPr>
        <w:t>2026 (Chapter No. 2026-65, Laws of Florida). In compliance with Section 366.06(3), Florida</w:t>
      </w:r>
      <w:r w:rsidR="0056260A">
        <w:rPr>
          <w:bCs/>
          <w:u w:val="none"/>
        </w:rPr>
        <w:t xml:space="preserve"> </w:t>
      </w:r>
      <w:r w:rsidR="0056260A" w:rsidRPr="0056260A">
        <w:rPr>
          <w:bCs/>
          <w:u w:val="none"/>
        </w:rPr>
        <w:t xml:space="preserve">Statutes (F.S.), an administrative hearing on DEF’s </w:t>
      </w:r>
      <w:r w:rsidR="00890815">
        <w:rPr>
          <w:bCs/>
          <w:u w:val="none"/>
        </w:rPr>
        <w:t>p</w:t>
      </w:r>
      <w:r w:rsidR="0056260A" w:rsidRPr="0056260A">
        <w:rPr>
          <w:bCs/>
          <w:u w:val="none"/>
        </w:rPr>
        <w:t>etition is scheduled for August 25-26, 2026.</w:t>
      </w:r>
      <w:r w:rsidR="0056260A">
        <w:rPr>
          <w:bCs/>
          <w:u w:val="none"/>
        </w:rPr>
        <w:t xml:space="preserve"> </w:t>
      </w:r>
    </w:p>
    <w:p w14:paraId="5420FFF0" w14:textId="77777777" w:rsidR="0056260A" w:rsidRDefault="0056260A" w:rsidP="0056260A">
      <w:pPr>
        <w:pStyle w:val="CenterUnderline"/>
        <w:jc w:val="both"/>
        <w:rPr>
          <w:bCs/>
          <w:u w:val="none"/>
        </w:rPr>
      </w:pPr>
    </w:p>
    <w:p w14:paraId="7F7CC402" w14:textId="0E10E3B9" w:rsidR="00B32EE4" w:rsidRPr="00B32EE4" w:rsidRDefault="0056260A" w:rsidP="004E148C">
      <w:pPr>
        <w:pStyle w:val="CenterUnderline"/>
        <w:ind w:firstLine="720"/>
        <w:jc w:val="both"/>
        <w:rPr>
          <w:bCs/>
          <w:u w:val="none"/>
        </w:rPr>
      </w:pPr>
      <w:r w:rsidRPr="0056260A">
        <w:rPr>
          <w:bCs/>
          <w:u w:val="none"/>
        </w:rPr>
        <w:t>The Office of Public Counsel (OPC)</w:t>
      </w:r>
      <w:r w:rsidR="004E148C">
        <w:rPr>
          <w:bCs/>
          <w:u w:val="none"/>
        </w:rPr>
        <w:t xml:space="preserve"> </w:t>
      </w:r>
      <w:r w:rsidR="004E148C" w:rsidRPr="004E148C">
        <w:rPr>
          <w:bCs/>
          <w:u w:val="none"/>
        </w:rPr>
        <w:t>is authorized to intervene by Section 350.0611,</w:t>
      </w:r>
      <w:r w:rsidR="004E148C">
        <w:rPr>
          <w:bCs/>
          <w:u w:val="none"/>
        </w:rPr>
        <w:t xml:space="preserve"> F.S.</w:t>
      </w:r>
      <w:r w:rsidR="00CF2BCF" w:rsidRPr="00CF2BCF">
        <w:rPr>
          <w:bCs/>
          <w:u w:val="none"/>
        </w:rPr>
        <w:t xml:space="preserve"> </w:t>
      </w:r>
      <w:r w:rsidR="00CF2BCF" w:rsidRPr="0056260A">
        <w:rPr>
          <w:bCs/>
          <w:u w:val="none"/>
        </w:rPr>
        <w:t>PCS Phosphate – White Springs (PCS Phosphate),</w:t>
      </w:r>
      <w:r w:rsidR="00CF2BCF">
        <w:rPr>
          <w:bCs/>
          <w:u w:val="none"/>
        </w:rPr>
        <w:t xml:space="preserve"> </w:t>
      </w:r>
      <w:r w:rsidR="003032C8" w:rsidRPr="0056260A">
        <w:rPr>
          <w:bCs/>
          <w:u w:val="none"/>
        </w:rPr>
        <w:t xml:space="preserve">Florida Industrial Power Users Group (FIPUG), </w:t>
      </w:r>
      <w:r w:rsidRPr="0056260A">
        <w:rPr>
          <w:bCs/>
          <w:u w:val="none"/>
        </w:rPr>
        <w:t>Florida Rising, Inc. (FR), and Nucor Steel Florida, Inc. (Nucor) were</w:t>
      </w:r>
      <w:r>
        <w:rPr>
          <w:bCs/>
          <w:u w:val="none"/>
        </w:rPr>
        <w:t xml:space="preserve"> </w:t>
      </w:r>
      <w:r w:rsidRPr="0056260A">
        <w:rPr>
          <w:bCs/>
          <w:u w:val="none"/>
        </w:rPr>
        <w:t>granted intervention in this docket subject to proof of standing or stipulations that there are</w:t>
      </w:r>
      <w:r>
        <w:rPr>
          <w:bCs/>
          <w:u w:val="none"/>
        </w:rPr>
        <w:t xml:space="preserve"> </w:t>
      </w:r>
      <w:r w:rsidRPr="0056260A">
        <w:rPr>
          <w:bCs/>
          <w:u w:val="none"/>
        </w:rPr>
        <w:t>sufficient facts to support all elements for standing.</w:t>
      </w:r>
    </w:p>
    <w:p w14:paraId="70787EC1" w14:textId="77777777" w:rsidR="00B32EE4" w:rsidRPr="00B32EE4" w:rsidRDefault="00B32EE4" w:rsidP="00B32EE4">
      <w:pPr>
        <w:pStyle w:val="CenterUnderline"/>
        <w:jc w:val="left"/>
        <w:rPr>
          <w:bCs/>
          <w:u w:val="none"/>
        </w:rPr>
      </w:pPr>
    </w:p>
    <w:p w14:paraId="59A3A008" w14:textId="395CF8C1" w:rsidR="00B32EE4" w:rsidRDefault="0056260A" w:rsidP="00DF3171">
      <w:pPr>
        <w:pStyle w:val="CenterUnderline"/>
        <w:jc w:val="both"/>
        <w:rPr>
          <w:bCs/>
          <w:u w:val="none"/>
        </w:rPr>
      </w:pPr>
      <w:r>
        <w:rPr>
          <w:bCs/>
          <w:u w:val="none"/>
        </w:rPr>
        <w:tab/>
        <w:t>Th</w:t>
      </w:r>
      <w:r w:rsidR="00DF3171">
        <w:rPr>
          <w:bCs/>
          <w:u w:val="none"/>
        </w:rPr>
        <w:t xml:space="preserve">e standing of </w:t>
      </w:r>
      <w:r w:rsidR="0076729C">
        <w:rPr>
          <w:bCs/>
          <w:u w:val="none"/>
        </w:rPr>
        <w:t>each of the</w:t>
      </w:r>
      <w:r w:rsidR="00DF3171">
        <w:rPr>
          <w:bCs/>
          <w:u w:val="none"/>
        </w:rPr>
        <w:t xml:space="preserve"> parties granted conditional intervention in this docket has remained a contested issue in this docket and was designated as Issue D in the Prehearing Order</w:t>
      </w:r>
      <w:r w:rsidR="00DF3171">
        <w:rPr>
          <w:rStyle w:val="FootnoteReference"/>
          <w:bCs/>
          <w:u w:val="none"/>
        </w:rPr>
        <w:footnoteReference w:id="1"/>
      </w:r>
      <w:r w:rsidR="00DF3171">
        <w:rPr>
          <w:bCs/>
          <w:u w:val="none"/>
        </w:rPr>
        <w:t xml:space="preserve">. Accordingly, on August 17, 2026, an evidentiary hearing took place to receive testimony and exhibits to facilitate </w:t>
      </w:r>
      <w:r w:rsidR="0076729C">
        <w:rPr>
          <w:bCs/>
          <w:u w:val="none"/>
        </w:rPr>
        <w:t xml:space="preserve">my </w:t>
      </w:r>
      <w:r w:rsidR="00DF3171">
        <w:rPr>
          <w:bCs/>
          <w:u w:val="none"/>
        </w:rPr>
        <w:t xml:space="preserve">determination of whether any or all of the following parties have standing to intervene in this docket: PCS Phosphate, FIPUG, </w:t>
      </w:r>
      <w:r w:rsidR="003430A1">
        <w:rPr>
          <w:bCs/>
          <w:u w:val="none"/>
        </w:rPr>
        <w:t xml:space="preserve">FR, </w:t>
      </w:r>
      <w:r w:rsidR="00286D02">
        <w:rPr>
          <w:bCs/>
          <w:u w:val="none"/>
        </w:rPr>
        <w:t xml:space="preserve">and </w:t>
      </w:r>
      <w:r w:rsidR="00DF3171">
        <w:rPr>
          <w:bCs/>
          <w:u w:val="none"/>
        </w:rPr>
        <w:t>N</w:t>
      </w:r>
      <w:r w:rsidR="003430A1">
        <w:rPr>
          <w:bCs/>
          <w:u w:val="none"/>
        </w:rPr>
        <w:t>ucor</w:t>
      </w:r>
      <w:r w:rsidR="00DF3171">
        <w:rPr>
          <w:bCs/>
          <w:u w:val="none"/>
        </w:rPr>
        <w:t>.</w:t>
      </w:r>
    </w:p>
    <w:p w14:paraId="45A9F1CD" w14:textId="77777777" w:rsidR="00A901A9" w:rsidRDefault="00A901A9" w:rsidP="00DF3171">
      <w:pPr>
        <w:pStyle w:val="CenterUnderline"/>
        <w:jc w:val="both"/>
        <w:rPr>
          <w:bCs/>
          <w:u w:val="none"/>
        </w:rPr>
      </w:pPr>
    </w:p>
    <w:p w14:paraId="16BE6652" w14:textId="1FF66FBC" w:rsidR="00A901A9" w:rsidRPr="00E11DA4" w:rsidRDefault="00A901A9" w:rsidP="00A901A9">
      <w:pPr>
        <w:pStyle w:val="CenterUnderline"/>
        <w:rPr>
          <w:bCs/>
          <w:u w:val="none"/>
        </w:rPr>
      </w:pPr>
      <w:r w:rsidRPr="00E11DA4">
        <w:rPr>
          <w:bCs/>
        </w:rPr>
        <w:t>Evidentiary Hearing</w:t>
      </w:r>
    </w:p>
    <w:p w14:paraId="60F2C7C2" w14:textId="77777777" w:rsidR="00A901A9" w:rsidRDefault="00A901A9" w:rsidP="00A901A9">
      <w:pPr>
        <w:pStyle w:val="CenterUnderline"/>
        <w:rPr>
          <w:bCs/>
          <w:u w:val="none"/>
        </w:rPr>
      </w:pPr>
    </w:p>
    <w:p w14:paraId="3EC1B6F6" w14:textId="332ABEDA" w:rsidR="00A901A9" w:rsidRPr="00A901A9" w:rsidRDefault="00A901A9" w:rsidP="00A901A9">
      <w:pPr>
        <w:pStyle w:val="CenterUnderline"/>
        <w:jc w:val="both"/>
        <w:rPr>
          <w:bCs/>
          <w:u w:val="none"/>
        </w:rPr>
      </w:pPr>
      <w:r>
        <w:rPr>
          <w:bCs/>
          <w:u w:val="none"/>
        </w:rPr>
        <w:tab/>
        <w:t xml:space="preserve">At the hearing, testimony </w:t>
      </w:r>
      <w:r w:rsidR="00D1212D">
        <w:rPr>
          <w:bCs/>
          <w:u w:val="none"/>
        </w:rPr>
        <w:t xml:space="preserve">regarding standing </w:t>
      </w:r>
      <w:r>
        <w:rPr>
          <w:bCs/>
          <w:u w:val="none"/>
        </w:rPr>
        <w:t>was provided by FIPUG witness Jeffry Pollock and Florida Rising witnesses Katina Rentas Negrón and Karl Rábago</w:t>
      </w:r>
      <w:r w:rsidR="00D4214E">
        <w:rPr>
          <w:bCs/>
          <w:u w:val="none"/>
        </w:rPr>
        <w:t>,</w:t>
      </w:r>
      <w:r w:rsidR="00A51BB3">
        <w:rPr>
          <w:bCs/>
          <w:u w:val="none"/>
        </w:rPr>
        <w:t xml:space="preserve"> and </w:t>
      </w:r>
      <w:r w:rsidR="00D4214E">
        <w:rPr>
          <w:bCs/>
          <w:u w:val="none"/>
        </w:rPr>
        <w:t>each</w:t>
      </w:r>
      <w:r w:rsidR="00D1212D">
        <w:rPr>
          <w:bCs/>
          <w:u w:val="none"/>
        </w:rPr>
        <w:t xml:space="preserve"> of these</w:t>
      </w:r>
      <w:r w:rsidR="00D4214E">
        <w:rPr>
          <w:bCs/>
          <w:u w:val="none"/>
        </w:rPr>
        <w:t xml:space="preserve"> witness’s </w:t>
      </w:r>
      <w:r w:rsidR="00A51BB3">
        <w:rPr>
          <w:bCs/>
          <w:u w:val="none"/>
        </w:rPr>
        <w:t>prefiled testimon</w:t>
      </w:r>
      <w:r w:rsidR="00D1212D">
        <w:rPr>
          <w:bCs/>
          <w:u w:val="none"/>
        </w:rPr>
        <w:t>y</w:t>
      </w:r>
      <w:r w:rsidR="00A51BB3">
        <w:rPr>
          <w:bCs/>
          <w:u w:val="none"/>
        </w:rPr>
        <w:t xml:space="preserve"> and exhibits were entered into the</w:t>
      </w:r>
      <w:r w:rsidR="00D4214E">
        <w:rPr>
          <w:bCs/>
          <w:u w:val="none"/>
        </w:rPr>
        <w:t xml:space="preserve"> hearing</w:t>
      </w:r>
      <w:r w:rsidR="00A51BB3">
        <w:rPr>
          <w:bCs/>
          <w:u w:val="none"/>
        </w:rPr>
        <w:t xml:space="preserve"> record. PCS Phosphate witness Tony Georgis’ prefiled testimony and exhibits</w:t>
      </w:r>
      <w:r w:rsidR="00CD5FB3">
        <w:rPr>
          <w:bCs/>
          <w:u w:val="none"/>
        </w:rPr>
        <w:t xml:space="preserve"> </w:t>
      </w:r>
      <w:r w:rsidR="00A51BB3">
        <w:rPr>
          <w:bCs/>
          <w:u w:val="none"/>
        </w:rPr>
        <w:t>were also entered into the record.</w:t>
      </w:r>
      <w:r w:rsidR="00D4214E">
        <w:rPr>
          <w:bCs/>
          <w:u w:val="none"/>
        </w:rPr>
        <w:t xml:space="preserve"> Finally, a notice of Type 2 stipulation</w:t>
      </w:r>
      <w:r w:rsidR="00D33F4C">
        <w:rPr>
          <w:rStyle w:val="FootnoteReference"/>
          <w:bCs/>
          <w:u w:val="none"/>
        </w:rPr>
        <w:footnoteReference w:id="2"/>
      </w:r>
      <w:r w:rsidR="00D4214E">
        <w:rPr>
          <w:bCs/>
          <w:u w:val="none"/>
        </w:rPr>
        <w:t xml:space="preserve"> regarding Nucor’s standing in this docket was entered into the record</w:t>
      </w:r>
      <w:r>
        <w:rPr>
          <w:bCs/>
          <w:u w:val="none"/>
        </w:rPr>
        <w:t>.</w:t>
      </w:r>
      <w:r w:rsidR="00D4214E">
        <w:rPr>
          <w:bCs/>
          <w:u w:val="none"/>
        </w:rPr>
        <w:t xml:space="preserve"> The parties filed briefs </w:t>
      </w:r>
      <w:r w:rsidR="00961CA1">
        <w:rPr>
          <w:bCs/>
          <w:u w:val="none"/>
        </w:rPr>
        <w:t>on August 20, 2026, regarding whether standing of the above-mentioned parties is appropriate in this docket</w:t>
      </w:r>
      <w:r w:rsidR="00D4214E">
        <w:rPr>
          <w:bCs/>
          <w:u w:val="none"/>
        </w:rPr>
        <w:t>.</w:t>
      </w:r>
    </w:p>
    <w:p w14:paraId="5F9F709A" w14:textId="77777777" w:rsidR="00890815" w:rsidRDefault="00890815" w:rsidP="00DF3171">
      <w:pPr>
        <w:pStyle w:val="CenterUnderline"/>
        <w:jc w:val="both"/>
        <w:rPr>
          <w:bCs/>
          <w:u w:val="none"/>
        </w:rPr>
      </w:pPr>
    </w:p>
    <w:p w14:paraId="26EBB231" w14:textId="0DD84E1A" w:rsidR="00890815" w:rsidRPr="00E11DA4" w:rsidRDefault="00890815" w:rsidP="00890815">
      <w:pPr>
        <w:pStyle w:val="CenterUnderline"/>
        <w:rPr>
          <w:b/>
          <w:u w:val="none"/>
        </w:rPr>
      </w:pPr>
      <w:r w:rsidRPr="00E11DA4">
        <w:rPr>
          <w:bCs/>
        </w:rPr>
        <w:lastRenderedPageBreak/>
        <w:t>Parties’ Positions</w:t>
      </w:r>
    </w:p>
    <w:p w14:paraId="58CAC300" w14:textId="77777777" w:rsidR="00890815" w:rsidRDefault="00890815" w:rsidP="00890815">
      <w:pPr>
        <w:pStyle w:val="CenterUnderline"/>
        <w:jc w:val="left"/>
        <w:rPr>
          <w:bCs/>
          <w:u w:val="none"/>
        </w:rPr>
      </w:pPr>
    </w:p>
    <w:p w14:paraId="145BF77F" w14:textId="7BF48D27" w:rsidR="00CF2BCF" w:rsidRPr="00E11DA4" w:rsidRDefault="00CF2BCF" w:rsidP="00890815">
      <w:pPr>
        <w:pStyle w:val="CenterUnderline"/>
        <w:jc w:val="left"/>
        <w:rPr>
          <w:b/>
          <w:u w:val="none"/>
        </w:rPr>
      </w:pPr>
      <w:r w:rsidRPr="00E11DA4">
        <w:rPr>
          <w:b/>
          <w:u w:val="none"/>
        </w:rPr>
        <w:t>ISSUE D:</w:t>
      </w:r>
      <w:r w:rsidRPr="00E11DA4">
        <w:rPr>
          <w:b/>
          <w:u w:val="none"/>
        </w:rPr>
        <w:tab/>
        <w:t>Whether the following persons have standing to intervene in this proceeding:</w:t>
      </w:r>
    </w:p>
    <w:p w14:paraId="23DC1D5E" w14:textId="2319D0FE" w:rsidR="00CF2BCF" w:rsidRPr="00E11DA4" w:rsidRDefault="00CF2BCF" w:rsidP="00CF2BCF">
      <w:pPr>
        <w:pStyle w:val="CenterUnderline"/>
        <w:numPr>
          <w:ilvl w:val="0"/>
          <w:numId w:val="2"/>
        </w:numPr>
        <w:jc w:val="left"/>
        <w:rPr>
          <w:b/>
          <w:u w:val="none"/>
        </w:rPr>
      </w:pPr>
      <w:r w:rsidRPr="00E11DA4">
        <w:rPr>
          <w:b/>
          <w:u w:val="none"/>
        </w:rPr>
        <w:t>PCS Phosphate – White Springs</w:t>
      </w:r>
    </w:p>
    <w:p w14:paraId="60D5911B" w14:textId="7E75486A" w:rsidR="00CF2BCF" w:rsidRPr="00E11DA4" w:rsidRDefault="00CF2BCF" w:rsidP="00CF2BCF">
      <w:pPr>
        <w:pStyle w:val="CenterUnderline"/>
        <w:numPr>
          <w:ilvl w:val="0"/>
          <w:numId w:val="2"/>
        </w:numPr>
        <w:jc w:val="left"/>
        <w:rPr>
          <w:b/>
          <w:u w:val="none"/>
        </w:rPr>
      </w:pPr>
      <w:r w:rsidRPr="00E11DA4">
        <w:rPr>
          <w:b/>
          <w:u w:val="none"/>
        </w:rPr>
        <w:t>Florida Industrial Power Users Group</w:t>
      </w:r>
    </w:p>
    <w:p w14:paraId="43D1C65F" w14:textId="216FC0EA" w:rsidR="00CF2BCF" w:rsidRPr="00E11DA4" w:rsidRDefault="00CF2BCF" w:rsidP="00CF2BCF">
      <w:pPr>
        <w:pStyle w:val="CenterUnderline"/>
        <w:numPr>
          <w:ilvl w:val="0"/>
          <w:numId w:val="2"/>
        </w:numPr>
        <w:jc w:val="left"/>
        <w:rPr>
          <w:b/>
          <w:u w:val="none"/>
        </w:rPr>
      </w:pPr>
      <w:r w:rsidRPr="00E11DA4">
        <w:rPr>
          <w:b/>
          <w:u w:val="none"/>
        </w:rPr>
        <w:t>Florida Rising, Inc.</w:t>
      </w:r>
    </w:p>
    <w:p w14:paraId="153F5949" w14:textId="64BC7B6A" w:rsidR="00CF2BCF" w:rsidRPr="00E11DA4" w:rsidRDefault="00CF2BCF" w:rsidP="00E11DA4">
      <w:pPr>
        <w:pStyle w:val="CenterUnderline"/>
        <w:numPr>
          <w:ilvl w:val="0"/>
          <w:numId w:val="2"/>
        </w:numPr>
        <w:jc w:val="left"/>
        <w:rPr>
          <w:b/>
          <w:u w:val="none"/>
        </w:rPr>
      </w:pPr>
      <w:r w:rsidRPr="00E11DA4">
        <w:rPr>
          <w:b/>
          <w:u w:val="none"/>
        </w:rPr>
        <w:t>Nucor Steel Florida, Inc.</w:t>
      </w:r>
    </w:p>
    <w:p w14:paraId="0EF37FDB" w14:textId="77777777" w:rsidR="00CF2BCF" w:rsidRDefault="00CF2BCF" w:rsidP="00890815">
      <w:pPr>
        <w:pStyle w:val="CenterUnderline"/>
        <w:jc w:val="left"/>
        <w:rPr>
          <w:bCs/>
          <w:u w:val="none"/>
        </w:rPr>
      </w:pPr>
    </w:p>
    <w:p w14:paraId="0055177C" w14:textId="7A17E632" w:rsidR="00CF2BCF" w:rsidRDefault="00CF2BCF" w:rsidP="00890815">
      <w:pPr>
        <w:pStyle w:val="CenterUnderline"/>
        <w:jc w:val="left"/>
        <w:rPr>
          <w:bCs/>
          <w:u w:val="none"/>
        </w:rPr>
      </w:pPr>
      <w:r>
        <w:rPr>
          <w:b/>
          <w:u w:val="none"/>
        </w:rPr>
        <w:t>DEF:</w:t>
      </w:r>
      <w:r>
        <w:rPr>
          <w:bCs/>
          <w:u w:val="none"/>
        </w:rPr>
        <w:tab/>
      </w:r>
      <w:r>
        <w:rPr>
          <w:bCs/>
          <w:u w:val="none"/>
        </w:rPr>
        <w:tab/>
        <w:t>a.</w:t>
      </w:r>
      <w:r>
        <w:rPr>
          <w:bCs/>
          <w:u w:val="none"/>
        </w:rPr>
        <w:tab/>
        <w:t>No position.</w:t>
      </w:r>
    </w:p>
    <w:p w14:paraId="721E5F30" w14:textId="790BAB98" w:rsidR="00CF2BCF" w:rsidRDefault="00CF2BCF" w:rsidP="00890815">
      <w:pPr>
        <w:pStyle w:val="CenterUnderline"/>
        <w:jc w:val="left"/>
        <w:rPr>
          <w:bCs/>
          <w:u w:val="none"/>
        </w:rPr>
      </w:pPr>
      <w:r>
        <w:rPr>
          <w:bCs/>
          <w:u w:val="none"/>
        </w:rPr>
        <w:tab/>
      </w:r>
      <w:r>
        <w:rPr>
          <w:bCs/>
          <w:u w:val="none"/>
        </w:rPr>
        <w:tab/>
        <w:t>b.</w:t>
      </w:r>
      <w:r>
        <w:rPr>
          <w:bCs/>
          <w:u w:val="none"/>
        </w:rPr>
        <w:tab/>
        <w:t>No position.</w:t>
      </w:r>
    </w:p>
    <w:p w14:paraId="1F722926" w14:textId="5AA02C42" w:rsidR="00CF2BCF" w:rsidRDefault="00CF2BCF" w:rsidP="00E11DA4">
      <w:pPr>
        <w:pStyle w:val="CenterUnderline"/>
        <w:ind w:left="2160" w:hanging="720"/>
        <w:jc w:val="left"/>
        <w:rPr>
          <w:bCs/>
          <w:u w:val="none"/>
        </w:rPr>
      </w:pPr>
      <w:r>
        <w:rPr>
          <w:bCs/>
          <w:u w:val="none"/>
        </w:rPr>
        <w:t>c.</w:t>
      </w:r>
      <w:r>
        <w:rPr>
          <w:bCs/>
          <w:u w:val="none"/>
        </w:rPr>
        <w:tab/>
      </w:r>
      <w:r w:rsidRPr="00CF2BCF">
        <w:rPr>
          <w:bCs/>
          <w:u w:val="none"/>
        </w:rPr>
        <w:t>FL Rising does not have standing to intervene in this proceeding. FL Rising has not met its burden to prove it has a substantial number of members who will be substantially impacted by this docket. It has not shown that any of its members are actual DEF ratepayers. Because this proceeding does not change current rates, FL Rising cannot show immediate harm from this docket.</w:t>
      </w:r>
    </w:p>
    <w:p w14:paraId="76BF58A8" w14:textId="1A6D2123" w:rsidR="00CF2BCF" w:rsidRDefault="00CF2BCF" w:rsidP="00890815">
      <w:pPr>
        <w:pStyle w:val="CenterUnderline"/>
        <w:jc w:val="left"/>
        <w:rPr>
          <w:bCs/>
          <w:u w:val="none"/>
        </w:rPr>
      </w:pPr>
      <w:r>
        <w:rPr>
          <w:bCs/>
          <w:u w:val="none"/>
        </w:rPr>
        <w:tab/>
      </w:r>
      <w:r>
        <w:rPr>
          <w:bCs/>
          <w:u w:val="none"/>
        </w:rPr>
        <w:tab/>
        <w:t>d.</w:t>
      </w:r>
      <w:r>
        <w:rPr>
          <w:bCs/>
          <w:u w:val="none"/>
        </w:rPr>
        <w:tab/>
        <w:t>No position.</w:t>
      </w:r>
    </w:p>
    <w:p w14:paraId="1A59FD4C" w14:textId="2B2BF0C0" w:rsidR="00CF2BCF" w:rsidRDefault="00CF2BCF" w:rsidP="00890815">
      <w:pPr>
        <w:pStyle w:val="CenterUnderline"/>
        <w:jc w:val="left"/>
        <w:rPr>
          <w:bCs/>
          <w:u w:val="none"/>
        </w:rPr>
      </w:pPr>
    </w:p>
    <w:p w14:paraId="1FAC3131" w14:textId="7D954C60" w:rsidR="00CF2BCF" w:rsidRDefault="00CF2BCF" w:rsidP="00CF2BCF">
      <w:pPr>
        <w:pStyle w:val="CenterUnderline"/>
        <w:jc w:val="left"/>
        <w:rPr>
          <w:bCs/>
          <w:u w:val="none"/>
        </w:rPr>
      </w:pPr>
      <w:r w:rsidRPr="00E11DA4">
        <w:rPr>
          <w:b/>
          <w:u w:val="none"/>
        </w:rPr>
        <w:t>OPC</w:t>
      </w:r>
      <w:r>
        <w:rPr>
          <w:b/>
          <w:u w:val="none"/>
        </w:rPr>
        <w:t>:</w:t>
      </w:r>
      <w:r w:rsidRPr="00CF2BCF">
        <w:rPr>
          <w:bCs/>
          <w:u w:val="none"/>
        </w:rPr>
        <w:t xml:space="preserve"> </w:t>
      </w:r>
      <w:r>
        <w:rPr>
          <w:bCs/>
          <w:u w:val="none"/>
        </w:rPr>
        <w:tab/>
      </w:r>
      <w:r>
        <w:rPr>
          <w:bCs/>
          <w:u w:val="none"/>
        </w:rPr>
        <w:tab/>
        <w:t>a.</w:t>
      </w:r>
      <w:r>
        <w:rPr>
          <w:bCs/>
          <w:u w:val="none"/>
        </w:rPr>
        <w:tab/>
        <w:t>No position.</w:t>
      </w:r>
    </w:p>
    <w:p w14:paraId="2BE7F92C" w14:textId="0F14062A" w:rsidR="00CF2BCF" w:rsidRDefault="00CF2BCF" w:rsidP="00CF2BCF">
      <w:pPr>
        <w:pStyle w:val="CenterUnderline"/>
        <w:jc w:val="left"/>
        <w:rPr>
          <w:bCs/>
          <w:u w:val="none"/>
        </w:rPr>
      </w:pPr>
      <w:r>
        <w:rPr>
          <w:bCs/>
          <w:u w:val="none"/>
        </w:rPr>
        <w:tab/>
      </w:r>
      <w:r>
        <w:rPr>
          <w:bCs/>
          <w:u w:val="none"/>
        </w:rPr>
        <w:tab/>
        <w:t>b.</w:t>
      </w:r>
      <w:r>
        <w:rPr>
          <w:bCs/>
          <w:u w:val="none"/>
        </w:rPr>
        <w:tab/>
      </w:r>
      <w:r w:rsidR="00532C69">
        <w:rPr>
          <w:bCs/>
          <w:u w:val="none"/>
        </w:rPr>
        <w:t>FIPUG has not demonstrated standing to intervene in this docket</w:t>
      </w:r>
      <w:r>
        <w:rPr>
          <w:bCs/>
          <w:u w:val="none"/>
        </w:rPr>
        <w:t>.</w:t>
      </w:r>
    </w:p>
    <w:p w14:paraId="7D4ED4B0" w14:textId="77777777" w:rsidR="00CF2BCF" w:rsidRDefault="00CF2BCF" w:rsidP="00CF2BCF">
      <w:pPr>
        <w:pStyle w:val="CenterUnderline"/>
        <w:jc w:val="left"/>
        <w:rPr>
          <w:bCs/>
          <w:u w:val="none"/>
        </w:rPr>
      </w:pPr>
      <w:r>
        <w:rPr>
          <w:bCs/>
          <w:u w:val="none"/>
        </w:rPr>
        <w:tab/>
      </w:r>
      <w:r>
        <w:rPr>
          <w:bCs/>
          <w:u w:val="none"/>
        </w:rPr>
        <w:tab/>
        <w:t>c.</w:t>
      </w:r>
      <w:r>
        <w:rPr>
          <w:bCs/>
          <w:u w:val="none"/>
        </w:rPr>
        <w:tab/>
        <w:t>No position.</w:t>
      </w:r>
    </w:p>
    <w:p w14:paraId="54425D9F" w14:textId="77777777" w:rsidR="00CF2BCF" w:rsidRDefault="00CF2BCF" w:rsidP="00CF2BCF">
      <w:pPr>
        <w:pStyle w:val="CenterUnderline"/>
        <w:jc w:val="left"/>
        <w:rPr>
          <w:bCs/>
          <w:u w:val="none"/>
        </w:rPr>
      </w:pPr>
      <w:r>
        <w:rPr>
          <w:bCs/>
          <w:u w:val="none"/>
        </w:rPr>
        <w:tab/>
      </w:r>
      <w:r>
        <w:rPr>
          <w:bCs/>
          <w:u w:val="none"/>
        </w:rPr>
        <w:tab/>
        <w:t>d.</w:t>
      </w:r>
      <w:r>
        <w:rPr>
          <w:bCs/>
          <w:u w:val="none"/>
        </w:rPr>
        <w:tab/>
        <w:t>No position.</w:t>
      </w:r>
    </w:p>
    <w:p w14:paraId="2B56E92D" w14:textId="0DF97043" w:rsidR="00890815" w:rsidRPr="00E11DA4" w:rsidRDefault="00890815" w:rsidP="00890815">
      <w:pPr>
        <w:pStyle w:val="CenterUnderline"/>
        <w:jc w:val="left"/>
        <w:rPr>
          <w:b/>
          <w:u w:val="none"/>
        </w:rPr>
      </w:pPr>
    </w:p>
    <w:p w14:paraId="3BD0AD72" w14:textId="7F9F16A7" w:rsidR="00532C69" w:rsidRPr="00532C69" w:rsidRDefault="00890815" w:rsidP="00E11DA4">
      <w:pPr>
        <w:pStyle w:val="CenterUnderline"/>
        <w:jc w:val="left"/>
        <w:rPr>
          <w:bCs/>
          <w:u w:val="none"/>
        </w:rPr>
      </w:pPr>
      <w:r w:rsidRPr="00E11DA4">
        <w:rPr>
          <w:b/>
          <w:u w:val="none"/>
        </w:rPr>
        <w:t>FIPUG</w:t>
      </w:r>
      <w:r w:rsidR="00CF2BCF">
        <w:rPr>
          <w:b/>
          <w:u w:val="none"/>
        </w:rPr>
        <w:t>:</w:t>
      </w:r>
      <w:r w:rsidR="00CF2BCF" w:rsidRPr="00CF2BCF">
        <w:rPr>
          <w:bCs/>
          <w:u w:val="none"/>
        </w:rPr>
        <w:t xml:space="preserve"> </w:t>
      </w:r>
      <w:r w:rsidR="00CF2BCF">
        <w:rPr>
          <w:bCs/>
          <w:u w:val="none"/>
        </w:rPr>
        <w:tab/>
        <w:t>a.</w:t>
      </w:r>
      <w:r w:rsidR="00CF2BCF">
        <w:rPr>
          <w:bCs/>
          <w:u w:val="none"/>
        </w:rPr>
        <w:tab/>
      </w:r>
      <w:r w:rsidR="00532C69" w:rsidRPr="00532C69">
        <w:rPr>
          <w:bCs/>
          <w:u w:val="none"/>
        </w:rPr>
        <w:t xml:space="preserve">PCS Phosphate – White Springs </w:t>
      </w:r>
      <w:r w:rsidR="00532C69">
        <w:rPr>
          <w:bCs/>
          <w:u w:val="none"/>
        </w:rPr>
        <w:tab/>
      </w:r>
      <w:r w:rsidR="00532C69">
        <w:rPr>
          <w:bCs/>
          <w:u w:val="none"/>
        </w:rPr>
        <w:tab/>
      </w:r>
      <w:r w:rsidR="00532C69" w:rsidRPr="00532C69">
        <w:rPr>
          <w:bCs/>
          <w:u w:val="none"/>
        </w:rPr>
        <w:t>Yes.</w:t>
      </w:r>
    </w:p>
    <w:p w14:paraId="76ECF788" w14:textId="66162DB0" w:rsidR="00CF2BCF" w:rsidRDefault="00532C69" w:rsidP="00E11DA4">
      <w:pPr>
        <w:pStyle w:val="CenterUnderline"/>
        <w:ind w:left="1440"/>
        <w:jc w:val="left"/>
        <w:rPr>
          <w:bCs/>
          <w:u w:val="none"/>
        </w:rPr>
      </w:pPr>
      <w:r w:rsidRPr="00532C69">
        <w:rPr>
          <w:bCs/>
          <w:u w:val="none"/>
        </w:rPr>
        <w:t xml:space="preserve">b. </w:t>
      </w:r>
      <w:r>
        <w:rPr>
          <w:bCs/>
          <w:u w:val="none"/>
        </w:rPr>
        <w:tab/>
      </w:r>
      <w:r w:rsidRPr="00532C69">
        <w:rPr>
          <w:bCs/>
          <w:u w:val="none"/>
        </w:rPr>
        <w:t xml:space="preserve">Florida Industrial Power Users Group </w:t>
      </w:r>
      <w:r>
        <w:rPr>
          <w:bCs/>
          <w:u w:val="none"/>
        </w:rPr>
        <w:tab/>
      </w:r>
      <w:r w:rsidRPr="00532C69">
        <w:rPr>
          <w:bCs/>
          <w:u w:val="none"/>
        </w:rPr>
        <w:t>Yes.</w:t>
      </w:r>
    </w:p>
    <w:p w14:paraId="0CF095C6" w14:textId="706F2B10" w:rsidR="00532C69" w:rsidRPr="00E11DA4" w:rsidRDefault="00CF2BCF" w:rsidP="00E11DA4">
      <w:pPr>
        <w:pStyle w:val="CenterUnderline"/>
        <w:jc w:val="left"/>
        <w:rPr>
          <w:bCs/>
          <w:u w:val="none"/>
        </w:rPr>
      </w:pPr>
      <w:r>
        <w:rPr>
          <w:bCs/>
          <w:u w:val="none"/>
        </w:rPr>
        <w:tab/>
      </w:r>
      <w:r>
        <w:rPr>
          <w:bCs/>
          <w:u w:val="none"/>
        </w:rPr>
        <w:tab/>
      </w:r>
      <w:r w:rsidR="00532C69" w:rsidRPr="00E11DA4">
        <w:rPr>
          <w:bCs/>
          <w:u w:val="none"/>
        </w:rPr>
        <w:t xml:space="preserve">c. </w:t>
      </w:r>
      <w:r w:rsidR="00532C69">
        <w:rPr>
          <w:bCs/>
          <w:u w:val="none"/>
        </w:rPr>
        <w:tab/>
      </w:r>
      <w:r w:rsidR="00532C69" w:rsidRPr="00E11DA4">
        <w:rPr>
          <w:bCs/>
          <w:u w:val="none"/>
        </w:rPr>
        <w:t xml:space="preserve">Florida Rising, Inc. </w:t>
      </w:r>
      <w:r w:rsidR="00532C69">
        <w:rPr>
          <w:bCs/>
          <w:u w:val="none"/>
        </w:rPr>
        <w:tab/>
      </w:r>
      <w:r w:rsidR="00532C69">
        <w:rPr>
          <w:bCs/>
          <w:u w:val="none"/>
        </w:rPr>
        <w:tab/>
      </w:r>
      <w:r w:rsidR="00532C69">
        <w:rPr>
          <w:bCs/>
          <w:u w:val="none"/>
        </w:rPr>
        <w:tab/>
      </w:r>
      <w:r w:rsidR="00532C69">
        <w:rPr>
          <w:bCs/>
          <w:u w:val="none"/>
        </w:rPr>
        <w:tab/>
      </w:r>
      <w:r w:rsidR="00532C69" w:rsidRPr="00E11DA4">
        <w:rPr>
          <w:bCs/>
          <w:u w:val="none"/>
        </w:rPr>
        <w:t>No.</w:t>
      </w:r>
    </w:p>
    <w:p w14:paraId="534F014F" w14:textId="3034415F" w:rsidR="00CF2BCF" w:rsidRDefault="00532C69" w:rsidP="00E11DA4">
      <w:pPr>
        <w:pStyle w:val="CenterUnderline"/>
        <w:ind w:left="720" w:firstLine="720"/>
        <w:jc w:val="left"/>
        <w:rPr>
          <w:bCs/>
          <w:u w:val="none"/>
        </w:rPr>
      </w:pPr>
      <w:r w:rsidRPr="00532C69">
        <w:rPr>
          <w:bCs/>
          <w:u w:val="none"/>
        </w:rPr>
        <w:t xml:space="preserve">d. </w:t>
      </w:r>
      <w:r>
        <w:rPr>
          <w:bCs/>
          <w:u w:val="none"/>
        </w:rPr>
        <w:tab/>
      </w:r>
      <w:r w:rsidRPr="00532C69">
        <w:rPr>
          <w:bCs/>
          <w:u w:val="none"/>
        </w:rPr>
        <w:t xml:space="preserve">Nucor Steel Florida, Inc. </w:t>
      </w:r>
      <w:r>
        <w:rPr>
          <w:bCs/>
          <w:u w:val="none"/>
        </w:rPr>
        <w:tab/>
      </w:r>
      <w:r>
        <w:rPr>
          <w:bCs/>
          <w:u w:val="none"/>
        </w:rPr>
        <w:tab/>
      </w:r>
      <w:r>
        <w:rPr>
          <w:bCs/>
          <w:u w:val="none"/>
        </w:rPr>
        <w:tab/>
      </w:r>
      <w:r w:rsidRPr="00532C69">
        <w:rPr>
          <w:bCs/>
          <w:u w:val="none"/>
        </w:rPr>
        <w:t>Yes.</w:t>
      </w:r>
    </w:p>
    <w:p w14:paraId="1EEC6EBD" w14:textId="18F20E5D" w:rsidR="00890815" w:rsidRPr="00E11DA4" w:rsidRDefault="00890815" w:rsidP="00890815">
      <w:pPr>
        <w:pStyle w:val="CenterUnderline"/>
        <w:jc w:val="left"/>
        <w:rPr>
          <w:b/>
          <w:u w:val="none"/>
        </w:rPr>
      </w:pPr>
    </w:p>
    <w:p w14:paraId="45636F74" w14:textId="102FCB34" w:rsidR="00D92A86" w:rsidRPr="00D92A86" w:rsidRDefault="00890815" w:rsidP="00E11DA4">
      <w:pPr>
        <w:pStyle w:val="CenterUnderline"/>
        <w:ind w:left="1440" w:hanging="1440"/>
        <w:jc w:val="both"/>
        <w:rPr>
          <w:bCs/>
          <w:u w:val="none"/>
        </w:rPr>
      </w:pPr>
      <w:r w:rsidRPr="00E11DA4">
        <w:rPr>
          <w:b/>
          <w:u w:val="none"/>
        </w:rPr>
        <w:t>F</w:t>
      </w:r>
      <w:r w:rsidR="00D92A86">
        <w:rPr>
          <w:b/>
          <w:u w:val="none"/>
        </w:rPr>
        <w:t xml:space="preserve">L </w:t>
      </w:r>
      <w:r w:rsidRPr="00E11DA4">
        <w:rPr>
          <w:b/>
          <w:u w:val="none"/>
        </w:rPr>
        <w:t>R</w:t>
      </w:r>
      <w:r w:rsidR="00D92A86">
        <w:rPr>
          <w:b/>
          <w:u w:val="none"/>
        </w:rPr>
        <w:t>ISING</w:t>
      </w:r>
      <w:r w:rsidR="00CF2BCF">
        <w:rPr>
          <w:b/>
          <w:u w:val="none"/>
        </w:rPr>
        <w:t>:</w:t>
      </w:r>
      <w:r w:rsidR="00CF2BCF">
        <w:rPr>
          <w:bCs/>
          <w:u w:val="none"/>
        </w:rPr>
        <w:tab/>
      </w:r>
      <w:r w:rsidR="00D92A86">
        <w:rPr>
          <w:bCs/>
          <w:u w:val="none"/>
        </w:rPr>
        <w:t>(</w:t>
      </w:r>
      <w:r w:rsidR="00CF2BCF">
        <w:rPr>
          <w:bCs/>
          <w:u w:val="none"/>
        </w:rPr>
        <w:t>a</w:t>
      </w:r>
      <w:r w:rsidR="00D92A86">
        <w:rPr>
          <w:bCs/>
          <w:u w:val="none"/>
        </w:rPr>
        <w:t xml:space="preserve">) </w:t>
      </w:r>
      <w:r w:rsidR="00D92A86" w:rsidRPr="00D92A86">
        <w:rPr>
          <w:bCs/>
          <w:u w:val="none"/>
        </w:rPr>
        <w:t>Yes, PCS Phosphate, as an individual customer whose rates could ultimately</w:t>
      </w:r>
      <w:r w:rsidR="00D92A86">
        <w:rPr>
          <w:bCs/>
          <w:u w:val="none"/>
        </w:rPr>
        <w:t xml:space="preserve"> </w:t>
      </w:r>
      <w:r w:rsidR="00D92A86" w:rsidRPr="00D92A86">
        <w:rPr>
          <w:bCs/>
          <w:u w:val="none"/>
        </w:rPr>
        <w:t>be impacted by this proceeding, has standing.</w:t>
      </w:r>
    </w:p>
    <w:p w14:paraId="233BCB08" w14:textId="3C58EF08" w:rsidR="00D92A86" w:rsidRPr="00D92A86" w:rsidRDefault="00D92A86" w:rsidP="00E11DA4">
      <w:pPr>
        <w:pStyle w:val="CenterUnderline"/>
        <w:ind w:left="1440"/>
        <w:jc w:val="both"/>
        <w:rPr>
          <w:bCs/>
          <w:u w:val="none"/>
        </w:rPr>
      </w:pPr>
      <w:r w:rsidRPr="00D92A86">
        <w:rPr>
          <w:bCs/>
          <w:u w:val="none"/>
        </w:rPr>
        <w:t>(b) FIPUG claims to have about eight members served by Duke. This would</w:t>
      </w:r>
      <w:r>
        <w:rPr>
          <w:bCs/>
          <w:u w:val="none"/>
        </w:rPr>
        <w:t xml:space="preserve"> </w:t>
      </w:r>
      <w:r w:rsidRPr="00D92A86">
        <w:rPr>
          <w:bCs/>
          <w:u w:val="none"/>
        </w:rPr>
        <w:t>appear to support associational standing, as eight members are a substantial</w:t>
      </w:r>
      <w:r>
        <w:rPr>
          <w:bCs/>
          <w:u w:val="none"/>
        </w:rPr>
        <w:t xml:space="preserve"> </w:t>
      </w:r>
      <w:r w:rsidRPr="00D92A86">
        <w:rPr>
          <w:bCs/>
          <w:u w:val="none"/>
        </w:rPr>
        <w:t>number and this proceeding may greatly impact electric rates. Florida Rising is</w:t>
      </w:r>
      <w:r>
        <w:rPr>
          <w:bCs/>
          <w:u w:val="none"/>
        </w:rPr>
        <w:t xml:space="preserve"> </w:t>
      </w:r>
      <w:r w:rsidRPr="00D92A86">
        <w:rPr>
          <w:bCs/>
          <w:u w:val="none"/>
        </w:rPr>
        <w:t>not waiving its legal arguments regarding incorporation status being necessary to</w:t>
      </w:r>
      <w:r>
        <w:rPr>
          <w:bCs/>
          <w:u w:val="none"/>
        </w:rPr>
        <w:t xml:space="preserve"> </w:t>
      </w:r>
      <w:r w:rsidRPr="00D92A86">
        <w:rPr>
          <w:bCs/>
          <w:u w:val="none"/>
        </w:rPr>
        <w:t>participate in Chapter 120 proceedings, nor its ability to raise such arguments at</w:t>
      </w:r>
      <w:r>
        <w:rPr>
          <w:bCs/>
          <w:u w:val="none"/>
        </w:rPr>
        <w:t xml:space="preserve"> </w:t>
      </w:r>
      <w:r w:rsidRPr="00D92A86">
        <w:rPr>
          <w:bCs/>
          <w:u w:val="none"/>
        </w:rPr>
        <w:t>the appellate level.</w:t>
      </w:r>
    </w:p>
    <w:p w14:paraId="47E8A7B4" w14:textId="77777777" w:rsidR="00D92A86" w:rsidRPr="00D92A86" w:rsidRDefault="00D92A86" w:rsidP="00E11DA4">
      <w:pPr>
        <w:pStyle w:val="CenterUnderline"/>
        <w:ind w:left="720" w:firstLine="720"/>
        <w:jc w:val="left"/>
        <w:rPr>
          <w:bCs/>
          <w:u w:val="none"/>
        </w:rPr>
      </w:pPr>
      <w:r w:rsidRPr="00D92A86">
        <w:rPr>
          <w:bCs/>
          <w:u w:val="none"/>
        </w:rPr>
        <w:t>(c) Yes. (Negrón, Rábago)</w:t>
      </w:r>
    </w:p>
    <w:p w14:paraId="337536FD" w14:textId="672C52A6" w:rsidR="00890815" w:rsidRDefault="00D92A86" w:rsidP="00D92A86">
      <w:pPr>
        <w:pStyle w:val="CenterUnderline"/>
        <w:ind w:left="1440"/>
        <w:jc w:val="left"/>
        <w:rPr>
          <w:bCs/>
          <w:u w:val="none"/>
        </w:rPr>
      </w:pPr>
      <w:r w:rsidRPr="00D92A86">
        <w:rPr>
          <w:bCs/>
          <w:u w:val="none"/>
        </w:rPr>
        <w:t>(d) Yes, Nucor Steel, as an individual customer whose rates could ultimately be</w:t>
      </w:r>
      <w:r>
        <w:rPr>
          <w:bCs/>
          <w:u w:val="none"/>
        </w:rPr>
        <w:t xml:space="preserve"> </w:t>
      </w:r>
      <w:r w:rsidRPr="00D92A86">
        <w:rPr>
          <w:bCs/>
          <w:u w:val="none"/>
        </w:rPr>
        <w:t>impacted by this proceeding, has standing.</w:t>
      </w:r>
    </w:p>
    <w:p w14:paraId="19CE8423" w14:textId="77777777" w:rsidR="00D92A86" w:rsidRPr="00CF2BCF" w:rsidRDefault="00D92A86" w:rsidP="00E11DA4">
      <w:pPr>
        <w:pStyle w:val="CenterUnderline"/>
        <w:ind w:left="1440"/>
        <w:jc w:val="left"/>
        <w:rPr>
          <w:bCs/>
          <w:u w:val="none"/>
        </w:rPr>
      </w:pPr>
    </w:p>
    <w:p w14:paraId="7DCCE1E2" w14:textId="604AEC1C" w:rsidR="00CF2BCF" w:rsidRDefault="00CF2BCF" w:rsidP="00CF2BCF">
      <w:pPr>
        <w:pStyle w:val="CenterUnderline"/>
        <w:jc w:val="left"/>
        <w:rPr>
          <w:bCs/>
          <w:u w:val="none"/>
        </w:rPr>
      </w:pPr>
      <w:r w:rsidRPr="00E11DA4">
        <w:rPr>
          <w:b/>
          <w:bCs/>
          <w:u w:val="none"/>
        </w:rPr>
        <w:t>NUCOR:</w:t>
      </w:r>
      <w:r w:rsidRPr="00CF2BCF">
        <w:rPr>
          <w:bCs/>
          <w:u w:val="none"/>
        </w:rPr>
        <w:t xml:space="preserve"> </w:t>
      </w:r>
      <w:r>
        <w:rPr>
          <w:bCs/>
          <w:u w:val="none"/>
        </w:rPr>
        <w:tab/>
        <w:t>a.</w:t>
      </w:r>
      <w:r>
        <w:rPr>
          <w:bCs/>
          <w:u w:val="none"/>
        </w:rPr>
        <w:tab/>
        <w:t>No position.</w:t>
      </w:r>
    </w:p>
    <w:p w14:paraId="38029965" w14:textId="77777777" w:rsidR="00CF2BCF" w:rsidRDefault="00CF2BCF" w:rsidP="00CF2BCF">
      <w:pPr>
        <w:pStyle w:val="CenterUnderline"/>
        <w:jc w:val="left"/>
        <w:rPr>
          <w:bCs/>
          <w:u w:val="none"/>
        </w:rPr>
      </w:pPr>
      <w:r>
        <w:rPr>
          <w:bCs/>
          <w:u w:val="none"/>
        </w:rPr>
        <w:tab/>
      </w:r>
      <w:r>
        <w:rPr>
          <w:bCs/>
          <w:u w:val="none"/>
        </w:rPr>
        <w:tab/>
        <w:t>b.</w:t>
      </w:r>
      <w:r>
        <w:rPr>
          <w:bCs/>
          <w:u w:val="none"/>
        </w:rPr>
        <w:tab/>
        <w:t>No position.</w:t>
      </w:r>
    </w:p>
    <w:p w14:paraId="56C38458" w14:textId="77777777" w:rsidR="00CF2BCF" w:rsidRDefault="00CF2BCF" w:rsidP="00CF2BCF">
      <w:pPr>
        <w:pStyle w:val="CenterUnderline"/>
        <w:jc w:val="left"/>
        <w:rPr>
          <w:bCs/>
          <w:u w:val="none"/>
        </w:rPr>
      </w:pPr>
      <w:r>
        <w:rPr>
          <w:bCs/>
          <w:u w:val="none"/>
        </w:rPr>
        <w:tab/>
      </w:r>
      <w:r>
        <w:rPr>
          <w:bCs/>
          <w:u w:val="none"/>
        </w:rPr>
        <w:tab/>
        <w:t>c.</w:t>
      </w:r>
      <w:r>
        <w:rPr>
          <w:bCs/>
          <w:u w:val="none"/>
        </w:rPr>
        <w:tab/>
        <w:t>No position.</w:t>
      </w:r>
    </w:p>
    <w:p w14:paraId="25B8F6D7" w14:textId="47DAC7B1" w:rsidR="00CF2BCF" w:rsidRDefault="00CF2BCF" w:rsidP="00E11DA4">
      <w:pPr>
        <w:pStyle w:val="CenterUnderline"/>
        <w:ind w:left="1440" w:hanging="1440"/>
        <w:jc w:val="left"/>
        <w:rPr>
          <w:bCs/>
          <w:u w:val="none"/>
        </w:rPr>
      </w:pPr>
      <w:r>
        <w:rPr>
          <w:bCs/>
          <w:u w:val="none"/>
        </w:rPr>
        <w:tab/>
        <w:t>d.</w:t>
      </w:r>
      <w:r>
        <w:rPr>
          <w:bCs/>
          <w:u w:val="none"/>
        </w:rPr>
        <w:tab/>
      </w:r>
      <w:r w:rsidR="00D92A86" w:rsidRPr="00D92A86">
        <w:rPr>
          <w:bCs/>
          <w:u w:val="none"/>
        </w:rPr>
        <w:t xml:space="preserve">Yes, Nucor Steel Florida, Inc., as an individual customer whose rates </w:t>
      </w:r>
      <w:r w:rsidR="00D92A86">
        <w:rPr>
          <w:bCs/>
          <w:u w:val="none"/>
        </w:rPr>
        <w:t xml:space="preserve"> c</w:t>
      </w:r>
      <w:r w:rsidR="00D92A86" w:rsidRPr="00D92A86">
        <w:rPr>
          <w:bCs/>
          <w:u w:val="none"/>
        </w:rPr>
        <w:t>ould ultimately be impacted by this proceeding, has standing.</w:t>
      </w:r>
    </w:p>
    <w:p w14:paraId="54D2D8B7" w14:textId="43E26BE6" w:rsidR="00890815" w:rsidRPr="00CF2BCF" w:rsidRDefault="00890815" w:rsidP="00B32EE4">
      <w:pPr>
        <w:pStyle w:val="CenterUnderline"/>
        <w:jc w:val="left"/>
        <w:rPr>
          <w:u w:val="none"/>
        </w:rPr>
      </w:pPr>
    </w:p>
    <w:p w14:paraId="55ED9D73" w14:textId="77777777" w:rsidR="00CF2BCF" w:rsidRPr="00E11DA4" w:rsidRDefault="00890815" w:rsidP="00B32EE4">
      <w:pPr>
        <w:pStyle w:val="CenterUnderline"/>
        <w:jc w:val="left"/>
        <w:rPr>
          <w:b/>
          <w:bCs/>
          <w:sz w:val="20"/>
          <w:szCs w:val="20"/>
          <w:u w:val="none"/>
        </w:rPr>
      </w:pPr>
      <w:r w:rsidRPr="00E11DA4">
        <w:rPr>
          <w:b/>
          <w:bCs/>
          <w:sz w:val="20"/>
          <w:szCs w:val="20"/>
          <w:u w:val="none"/>
        </w:rPr>
        <w:t xml:space="preserve">PCS </w:t>
      </w:r>
    </w:p>
    <w:p w14:paraId="1B2CDB72" w14:textId="710BB774" w:rsidR="000D3F1E" w:rsidRDefault="00CF2BCF" w:rsidP="00E11DA4">
      <w:pPr>
        <w:pStyle w:val="CenterUnderline"/>
        <w:jc w:val="both"/>
        <w:rPr>
          <w:bCs/>
          <w:u w:val="none"/>
        </w:rPr>
      </w:pPr>
      <w:r w:rsidRPr="00E11DA4">
        <w:rPr>
          <w:b/>
          <w:bCs/>
          <w:sz w:val="20"/>
          <w:szCs w:val="20"/>
          <w:u w:val="none"/>
        </w:rPr>
        <w:t>PHOSPHATE:</w:t>
      </w:r>
      <w:r w:rsidR="000D3F1E">
        <w:rPr>
          <w:bCs/>
          <w:u w:val="none"/>
        </w:rPr>
        <w:tab/>
      </w:r>
      <w:r w:rsidR="000D3F1E" w:rsidRPr="000D3F1E">
        <w:rPr>
          <w:bCs/>
          <w:u w:val="none"/>
        </w:rPr>
        <w:t>A party’s standing to intervene is a threshold matter that concerns whether the</w:t>
      </w:r>
      <w:r w:rsidR="000D3F1E">
        <w:rPr>
          <w:bCs/>
          <w:u w:val="none"/>
        </w:rPr>
        <w:t xml:space="preserve"> </w:t>
      </w:r>
      <w:r w:rsidR="000D3F1E" w:rsidRPr="000D3F1E">
        <w:rPr>
          <w:bCs/>
          <w:u w:val="none"/>
        </w:rPr>
        <w:t>party is entitled to initiate or participate in a cause of action, or, in this case, a</w:t>
      </w:r>
      <w:r w:rsidR="000D3F1E">
        <w:rPr>
          <w:bCs/>
          <w:u w:val="none"/>
        </w:rPr>
        <w:t xml:space="preserve"> </w:t>
      </w:r>
      <w:r w:rsidR="000D3F1E" w:rsidRPr="000D3F1E">
        <w:rPr>
          <w:bCs/>
          <w:u w:val="none"/>
        </w:rPr>
        <w:t>public regulatory docket.</w:t>
      </w:r>
      <w:r w:rsidR="000D3F1E">
        <w:rPr>
          <w:rStyle w:val="FootnoteReference"/>
          <w:bCs/>
          <w:u w:val="none"/>
        </w:rPr>
        <w:footnoteReference w:id="3"/>
      </w:r>
      <w:r w:rsidR="000D3F1E" w:rsidRPr="000D3F1E">
        <w:rPr>
          <w:bCs/>
          <w:u w:val="none"/>
        </w:rPr>
        <w:t xml:space="preserve"> A party is entitled to perform discovery, submit</w:t>
      </w:r>
      <w:r w:rsidR="000D3F1E">
        <w:rPr>
          <w:bCs/>
          <w:u w:val="none"/>
        </w:rPr>
        <w:t xml:space="preserve"> </w:t>
      </w:r>
      <w:r w:rsidR="000D3F1E" w:rsidRPr="000D3F1E">
        <w:rPr>
          <w:bCs/>
          <w:u w:val="none"/>
        </w:rPr>
        <w:t>testimony, conduct depositions and cross-examination, take positions, agree to</w:t>
      </w:r>
      <w:r w:rsidR="000D3F1E">
        <w:rPr>
          <w:bCs/>
          <w:u w:val="none"/>
        </w:rPr>
        <w:t xml:space="preserve"> </w:t>
      </w:r>
      <w:r w:rsidR="000D3F1E" w:rsidRPr="000D3F1E">
        <w:rPr>
          <w:bCs/>
          <w:u w:val="none"/>
        </w:rPr>
        <w:t>compromise or settle issues, file briefs and argue contested matters, with all of the</w:t>
      </w:r>
      <w:r w:rsidR="000D3F1E">
        <w:rPr>
          <w:bCs/>
          <w:u w:val="none"/>
        </w:rPr>
        <w:t xml:space="preserve"> </w:t>
      </w:r>
      <w:r w:rsidR="000D3F1E" w:rsidRPr="000D3F1E">
        <w:rPr>
          <w:bCs/>
          <w:u w:val="none"/>
        </w:rPr>
        <w:t>time and expense that those matters require.</w:t>
      </w:r>
      <w:r w:rsidR="000D3F1E">
        <w:rPr>
          <w:rStyle w:val="FootnoteReference"/>
          <w:bCs/>
          <w:u w:val="none"/>
        </w:rPr>
        <w:footnoteReference w:id="4"/>
      </w:r>
      <w:r w:rsidR="000D3F1E" w:rsidRPr="000D3F1E">
        <w:rPr>
          <w:bCs/>
          <w:u w:val="none"/>
        </w:rPr>
        <w:t xml:space="preserve"> Other parties are obligated to incur</w:t>
      </w:r>
      <w:r w:rsidR="000D3F1E">
        <w:rPr>
          <w:bCs/>
          <w:u w:val="none"/>
        </w:rPr>
        <w:t xml:space="preserve"> </w:t>
      </w:r>
      <w:r w:rsidR="000D3F1E" w:rsidRPr="000D3F1E">
        <w:rPr>
          <w:bCs/>
          <w:u w:val="none"/>
        </w:rPr>
        <w:t>the time and expense of responding to those interrogatory and production of</w:t>
      </w:r>
      <w:r w:rsidR="000D3F1E">
        <w:rPr>
          <w:bCs/>
          <w:u w:val="none"/>
        </w:rPr>
        <w:t xml:space="preserve"> </w:t>
      </w:r>
      <w:r w:rsidR="000D3F1E" w:rsidRPr="000D3F1E">
        <w:rPr>
          <w:bCs/>
          <w:u w:val="none"/>
        </w:rPr>
        <w:t>document requests, requests for depositions, and competing positions on issues</w:t>
      </w:r>
      <w:r w:rsidR="000D3F1E">
        <w:rPr>
          <w:bCs/>
          <w:u w:val="none"/>
        </w:rPr>
        <w:t xml:space="preserve"> </w:t>
      </w:r>
      <w:r w:rsidR="000D3F1E" w:rsidRPr="000D3F1E">
        <w:rPr>
          <w:bCs/>
          <w:u w:val="none"/>
        </w:rPr>
        <w:t>that a party may take or initiate. Consequently, to the extent practicable, questions</w:t>
      </w:r>
      <w:r w:rsidR="000D3F1E">
        <w:rPr>
          <w:bCs/>
          <w:u w:val="none"/>
        </w:rPr>
        <w:t xml:space="preserve"> </w:t>
      </w:r>
      <w:r w:rsidR="000D3F1E" w:rsidRPr="000D3F1E">
        <w:rPr>
          <w:bCs/>
          <w:u w:val="none"/>
        </w:rPr>
        <w:t>regarding party standing should be decided before the evidentiary proceedings</w:t>
      </w:r>
      <w:r w:rsidR="000D3F1E">
        <w:rPr>
          <w:bCs/>
          <w:u w:val="none"/>
        </w:rPr>
        <w:t xml:space="preserve"> </w:t>
      </w:r>
      <w:r w:rsidR="000D3F1E" w:rsidRPr="000D3F1E">
        <w:rPr>
          <w:bCs/>
          <w:u w:val="none"/>
        </w:rPr>
        <w:t>begin. PCS Phosphate’s credentials concerning its status as a current DEF</w:t>
      </w:r>
      <w:r w:rsidR="000D3F1E">
        <w:rPr>
          <w:bCs/>
          <w:u w:val="none"/>
        </w:rPr>
        <w:t xml:space="preserve"> </w:t>
      </w:r>
      <w:r w:rsidR="000D3F1E" w:rsidRPr="000D3F1E">
        <w:rPr>
          <w:bCs/>
          <w:u w:val="none"/>
        </w:rPr>
        <w:t>customer with a substantial interest in the issues presented here are unassailable</w:t>
      </w:r>
      <w:r w:rsidR="000D3F1E">
        <w:rPr>
          <w:bCs/>
          <w:u w:val="none"/>
        </w:rPr>
        <w:t xml:space="preserve"> </w:t>
      </w:r>
      <w:r w:rsidR="000D3F1E" w:rsidRPr="000D3F1E">
        <w:rPr>
          <w:bCs/>
          <w:u w:val="none"/>
        </w:rPr>
        <w:t>and its standing to intervene should be confirmed without qualification. In</w:t>
      </w:r>
      <w:r w:rsidR="000D3F1E">
        <w:rPr>
          <w:bCs/>
          <w:u w:val="none"/>
        </w:rPr>
        <w:t xml:space="preserve"> </w:t>
      </w:r>
      <w:r w:rsidR="000D3F1E" w:rsidRPr="000D3F1E">
        <w:rPr>
          <w:bCs/>
          <w:u w:val="none"/>
        </w:rPr>
        <w:t>addition, it bears noting that PCS Phosphate and the other listed intervenors have</w:t>
      </w:r>
      <w:r w:rsidR="000D3F1E">
        <w:rPr>
          <w:bCs/>
          <w:u w:val="none"/>
        </w:rPr>
        <w:t xml:space="preserve"> </w:t>
      </w:r>
      <w:r w:rsidR="000D3F1E" w:rsidRPr="000D3F1E">
        <w:rPr>
          <w:bCs/>
          <w:u w:val="none"/>
        </w:rPr>
        <w:t>an extensive history of participation in matters before the Commission and are</w:t>
      </w:r>
      <w:r w:rsidR="000D3F1E">
        <w:rPr>
          <w:bCs/>
          <w:u w:val="none"/>
        </w:rPr>
        <w:t xml:space="preserve"> </w:t>
      </w:r>
      <w:r w:rsidR="000D3F1E" w:rsidRPr="000D3F1E">
        <w:rPr>
          <w:bCs/>
          <w:u w:val="none"/>
        </w:rPr>
        <w:t>well known by the other parties to this docket. The public interest is not served</w:t>
      </w:r>
      <w:r w:rsidR="000D3F1E">
        <w:rPr>
          <w:bCs/>
          <w:u w:val="none"/>
        </w:rPr>
        <w:t xml:space="preserve"> </w:t>
      </w:r>
      <w:r w:rsidR="000D3F1E" w:rsidRPr="000D3F1E">
        <w:rPr>
          <w:bCs/>
          <w:u w:val="none"/>
        </w:rPr>
        <w:t>by further deferring the standing question, and PCS Phosphate is willing to</w:t>
      </w:r>
      <w:r w:rsidR="000D3F1E">
        <w:rPr>
          <w:bCs/>
          <w:u w:val="none"/>
        </w:rPr>
        <w:t xml:space="preserve"> </w:t>
      </w:r>
      <w:r w:rsidR="000D3F1E" w:rsidRPr="000D3F1E">
        <w:rPr>
          <w:bCs/>
          <w:u w:val="none"/>
        </w:rPr>
        <w:t>stipulate to the standing of all parties if they are willing to extend the same</w:t>
      </w:r>
      <w:r w:rsidR="000D3F1E">
        <w:rPr>
          <w:bCs/>
          <w:u w:val="none"/>
        </w:rPr>
        <w:t xml:space="preserve"> </w:t>
      </w:r>
      <w:r w:rsidR="000D3F1E" w:rsidRPr="000D3F1E">
        <w:rPr>
          <w:bCs/>
          <w:u w:val="none"/>
        </w:rPr>
        <w:t>curtesy to PCS Phosphate.</w:t>
      </w:r>
    </w:p>
    <w:p w14:paraId="6480DC89" w14:textId="250F71D9" w:rsidR="00CF2BCF" w:rsidRDefault="000D3F1E" w:rsidP="00CF2BCF">
      <w:pPr>
        <w:pStyle w:val="CenterUnderline"/>
        <w:jc w:val="left"/>
        <w:rPr>
          <w:bCs/>
          <w:u w:val="none"/>
        </w:rPr>
      </w:pPr>
      <w:r>
        <w:rPr>
          <w:bCs/>
          <w:u w:val="none"/>
        </w:rPr>
        <w:tab/>
      </w:r>
      <w:r w:rsidR="00CF2BCF">
        <w:rPr>
          <w:bCs/>
          <w:u w:val="none"/>
        </w:rPr>
        <w:tab/>
        <w:t>a.</w:t>
      </w:r>
      <w:r w:rsidR="00CF2BCF">
        <w:rPr>
          <w:bCs/>
          <w:u w:val="none"/>
        </w:rPr>
        <w:tab/>
      </w:r>
      <w:r w:rsidR="00D92A86" w:rsidRPr="00D92A86">
        <w:rPr>
          <w:bCs/>
          <w:u w:val="none"/>
        </w:rPr>
        <w:t>PCS Phosphate</w:t>
      </w:r>
      <w:r>
        <w:rPr>
          <w:bCs/>
          <w:u w:val="none"/>
        </w:rPr>
        <w:t>:</w:t>
      </w:r>
      <w:r w:rsidR="00594EB9">
        <w:rPr>
          <w:bCs/>
          <w:u w:val="none"/>
        </w:rPr>
        <w:t xml:space="preserve"> </w:t>
      </w:r>
      <w:r w:rsidR="00D92A86" w:rsidRPr="00D92A86">
        <w:rPr>
          <w:bCs/>
          <w:u w:val="none"/>
        </w:rPr>
        <w:t>Yes. (Tony Georgis)</w:t>
      </w:r>
    </w:p>
    <w:p w14:paraId="3E996D87" w14:textId="14309E89" w:rsidR="00CF2BCF" w:rsidRDefault="00CF2BCF" w:rsidP="00CF2BCF">
      <w:pPr>
        <w:pStyle w:val="CenterUnderline"/>
        <w:jc w:val="left"/>
        <w:rPr>
          <w:bCs/>
          <w:u w:val="none"/>
        </w:rPr>
      </w:pPr>
      <w:r>
        <w:rPr>
          <w:bCs/>
          <w:u w:val="none"/>
        </w:rPr>
        <w:tab/>
      </w:r>
      <w:r>
        <w:rPr>
          <w:bCs/>
          <w:u w:val="none"/>
        </w:rPr>
        <w:tab/>
        <w:t>b.</w:t>
      </w:r>
      <w:r>
        <w:rPr>
          <w:bCs/>
          <w:u w:val="none"/>
        </w:rPr>
        <w:tab/>
      </w:r>
      <w:r w:rsidR="000D3F1E">
        <w:rPr>
          <w:bCs/>
          <w:u w:val="none"/>
        </w:rPr>
        <w:t>See statement above</w:t>
      </w:r>
      <w:r>
        <w:rPr>
          <w:bCs/>
          <w:u w:val="none"/>
        </w:rPr>
        <w:t>.</w:t>
      </w:r>
    </w:p>
    <w:p w14:paraId="1F0BB441" w14:textId="3F55E837" w:rsidR="00CF2BCF" w:rsidRDefault="00CF2BCF" w:rsidP="00CF2BCF">
      <w:pPr>
        <w:pStyle w:val="CenterUnderline"/>
        <w:jc w:val="left"/>
        <w:rPr>
          <w:bCs/>
          <w:u w:val="none"/>
        </w:rPr>
      </w:pPr>
      <w:r>
        <w:rPr>
          <w:bCs/>
          <w:u w:val="none"/>
        </w:rPr>
        <w:tab/>
      </w:r>
      <w:r>
        <w:rPr>
          <w:bCs/>
          <w:u w:val="none"/>
        </w:rPr>
        <w:tab/>
        <w:t>c.</w:t>
      </w:r>
      <w:r>
        <w:rPr>
          <w:bCs/>
          <w:u w:val="none"/>
        </w:rPr>
        <w:tab/>
      </w:r>
      <w:r w:rsidR="000D3F1E">
        <w:rPr>
          <w:bCs/>
          <w:u w:val="none"/>
        </w:rPr>
        <w:t>See statement above</w:t>
      </w:r>
      <w:r>
        <w:rPr>
          <w:bCs/>
          <w:u w:val="none"/>
        </w:rPr>
        <w:t>.</w:t>
      </w:r>
    </w:p>
    <w:p w14:paraId="1F0EDDC8" w14:textId="14E14890" w:rsidR="00CF2BCF" w:rsidRDefault="00CF2BCF" w:rsidP="00CF2BCF">
      <w:pPr>
        <w:pStyle w:val="CenterUnderline"/>
        <w:jc w:val="left"/>
        <w:rPr>
          <w:bCs/>
          <w:u w:val="none"/>
        </w:rPr>
      </w:pPr>
      <w:r>
        <w:rPr>
          <w:bCs/>
          <w:u w:val="none"/>
        </w:rPr>
        <w:tab/>
      </w:r>
      <w:r>
        <w:rPr>
          <w:bCs/>
          <w:u w:val="none"/>
        </w:rPr>
        <w:tab/>
        <w:t>d.</w:t>
      </w:r>
      <w:r>
        <w:rPr>
          <w:bCs/>
          <w:u w:val="none"/>
        </w:rPr>
        <w:tab/>
      </w:r>
      <w:r w:rsidR="000D3F1E">
        <w:rPr>
          <w:bCs/>
          <w:u w:val="none"/>
        </w:rPr>
        <w:t>See statement above</w:t>
      </w:r>
      <w:r>
        <w:rPr>
          <w:bCs/>
          <w:u w:val="none"/>
        </w:rPr>
        <w:t>.</w:t>
      </w:r>
    </w:p>
    <w:p w14:paraId="3BDCDDAD" w14:textId="77777777" w:rsidR="00890815" w:rsidRDefault="00890815" w:rsidP="00B32EE4">
      <w:pPr>
        <w:pStyle w:val="CenterUnderline"/>
        <w:jc w:val="left"/>
        <w:rPr>
          <w:u w:val="none"/>
        </w:rPr>
      </w:pPr>
    </w:p>
    <w:p w14:paraId="5C973DEA" w14:textId="7F1FA407" w:rsidR="00DF3171" w:rsidRPr="00E11DA4" w:rsidRDefault="00B527F7" w:rsidP="005467DA">
      <w:pPr>
        <w:pStyle w:val="CenterUnderline"/>
      </w:pPr>
      <w:r w:rsidRPr="00E11DA4">
        <w:t xml:space="preserve">Analysis and </w:t>
      </w:r>
      <w:r w:rsidR="005467DA" w:rsidRPr="00E11DA4">
        <w:t>Decision</w:t>
      </w:r>
    </w:p>
    <w:p w14:paraId="734327A9" w14:textId="77777777" w:rsidR="005467DA" w:rsidRDefault="005467DA" w:rsidP="00B32EE4">
      <w:pPr>
        <w:pStyle w:val="CenterUnderline"/>
        <w:jc w:val="left"/>
        <w:rPr>
          <w:u w:val="none"/>
        </w:rPr>
      </w:pPr>
    </w:p>
    <w:p w14:paraId="6DC41215" w14:textId="459A6A6D" w:rsidR="008C436C" w:rsidRPr="00E11DA4" w:rsidRDefault="008C436C" w:rsidP="00B32EE4">
      <w:pPr>
        <w:pStyle w:val="CenterUnderline"/>
        <w:jc w:val="left"/>
      </w:pPr>
      <w:r>
        <w:t>Legal Standard</w:t>
      </w:r>
    </w:p>
    <w:p w14:paraId="18941E20" w14:textId="77777777" w:rsidR="008C436C" w:rsidRDefault="008C436C" w:rsidP="00B32EE4">
      <w:pPr>
        <w:pStyle w:val="CenterUnderline"/>
        <w:jc w:val="left"/>
        <w:rPr>
          <w:u w:val="none"/>
        </w:rPr>
      </w:pPr>
    </w:p>
    <w:p w14:paraId="76BFF600" w14:textId="2C8DCE4B" w:rsidR="00DF3171" w:rsidRDefault="005467DA" w:rsidP="00D1073A">
      <w:pPr>
        <w:pStyle w:val="CenterUnderline"/>
        <w:jc w:val="both"/>
        <w:rPr>
          <w:u w:val="none"/>
        </w:rPr>
      </w:pPr>
      <w:r>
        <w:rPr>
          <w:u w:val="none"/>
        </w:rPr>
        <w:tab/>
      </w:r>
      <w:r w:rsidR="00D1073A">
        <w:rPr>
          <w:u w:val="none"/>
        </w:rPr>
        <w:t xml:space="preserve">Rule 28-106.206, Florida Administrative Code (F.A.C), governs intervention in this proceeding. Paragraph (2)(c) states that a motion to intervene must contain “[a]llegations sufficient to demonstrate </w:t>
      </w:r>
      <w:r w:rsidR="00D1073A" w:rsidRPr="00D1073A">
        <w:rPr>
          <w:u w:val="none"/>
        </w:rPr>
        <w:t>that the intervenor is entitled to participate in the proceeding as a matter of</w:t>
      </w:r>
      <w:r w:rsidR="00D1073A">
        <w:rPr>
          <w:u w:val="none"/>
        </w:rPr>
        <w:t xml:space="preserve"> </w:t>
      </w:r>
      <w:r w:rsidR="00D1073A" w:rsidRPr="00D1073A">
        <w:rPr>
          <w:u w:val="none"/>
        </w:rPr>
        <w:t>constitutional or statutory right or pursuant to agency rule, or that the substantial interests of the</w:t>
      </w:r>
      <w:r w:rsidR="00D1073A">
        <w:rPr>
          <w:u w:val="none"/>
        </w:rPr>
        <w:t xml:space="preserve"> </w:t>
      </w:r>
      <w:r w:rsidR="00D1073A" w:rsidRPr="00D1073A">
        <w:rPr>
          <w:u w:val="none"/>
        </w:rPr>
        <w:t>intervenor are subject to determination or will be affected by the proceeding.” Under</w:t>
      </w:r>
      <w:r w:rsidR="00D1073A">
        <w:rPr>
          <w:u w:val="none"/>
        </w:rPr>
        <w:t xml:space="preserve"> </w:t>
      </w:r>
      <w:r w:rsidR="00890815">
        <w:rPr>
          <w:u w:val="none"/>
        </w:rPr>
        <w:t>s</w:t>
      </w:r>
      <w:r w:rsidR="00D1073A" w:rsidRPr="00D1073A">
        <w:rPr>
          <w:u w:val="none"/>
        </w:rPr>
        <w:t>ubsection</w:t>
      </w:r>
      <w:r w:rsidR="00D1073A">
        <w:rPr>
          <w:u w:val="none"/>
        </w:rPr>
        <w:t xml:space="preserve"> </w:t>
      </w:r>
      <w:r w:rsidR="00D1073A" w:rsidRPr="00D1073A">
        <w:rPr>
          <w:u w:val="none"/>
        </w:rPr>
        <w:t>(1), “[t]he presiding officer may impose terms and conditions on the intervenor to limit prejudice</w:t>
      </w:r>
      <w:r w:rsidR="00D1073A">
        <w:rPr>
          <w:u w:val="none"/>
        </w:rPr>
        <w:t xml:space="preserve"> </w:t>
      </w:r>
      <w:r w:rsidR="00D1073A" w:rsidRPr="00D1073A">
        <w:rPr>
          <w:u w:val="none"/>
        </w:rPr>
        <w:t>to other parties.”</w:t>
      </w:r>
    </w:p>
    <w:p w14:paraId="16564E06" w14:textId="38DF073B" w:rsidR="00B32EE4" w:rsidRDefault="00B32EE4" w:rsidP="00B32EE4">
      <w:pPr>
        <w:pStyle w:val="CenterUnderline"/>
        <w:jc w:val="left"/>
        <w:rPr>
          <w:u w:val="none"/>
        </w:rPr>
      </w:pPr>
    </w:p>
    <w:p w14:paraId="6B8A8570" w14:textId="59101922" w:rsidR="0076729C" w:rsidRDefault="0076729C" w:rsidP="00BF0512">
      <w:pPr>
        <w:pStyle w:val="CenterUnderline"/>
        <w:jc w:val="both"/>
        <w:rPr>
          <w:u w:val="none"/>
        </w:rPr>
      </w:pPr>
      <w:r>
        <w:rPr>
          <w:u w:val="none"/>
        </w:rPr>
        <w:tab/>
      </w:r>
      <w:r w:rsidR="00BF0512">
        <w:rPr>
          <w:u w:val="none"/>
        </w:rPr>
        <w:t xml:space="preserve">Standing is a threshold issue in nearly every legal proceeding. For individual standing, intervenors must meet the two-prong standing test set forth in </w:t>
      </w:r>
      <w:r w:rsidR="00BF0512">
        <w:t>Agrico Chemical Company v. Department of Environmental Regulation</w:t>
      </w:r>
      <w:r w:rsidR="00BF0512">
        <w:rPr>
          <w:u w:val="none"/>
        </w:rPr>
        <w:t xml:space="preserve">, 406 So. 2d 4758 (Fla. 2d DCA 1981). That test requires that an intervenor demonstrate (1) that he will suffer injury in fact that is of sufficient immediacy to entitle him to a hearing and (2) the injury is of a type or nature that the proceeding </w:t>
      </w:r>
      <w:r w:rsidR="00BF0512">
        <w:rPr>
          <w:u w:val="none"/>
        </w:rPr>
        <w:lastRenderedPageBreak/>
        <w:t xml:space="preserve">is designed to protect. PCS Phosphate and Nucor both appear in their individual capacity as single customers of the utility and are analyzed solely under the </w:t>
      </w:r>
      <w:r w:rsidR="00BF0512">
        <w:t>Agrico</w:t>
      </w:r>
      <w:r w:rsidR="00BF0512">
        <w:rPr>
          <w:u w:val="none"/>
        </w:rPr>
        <w:t xml:space="preserve"> test.</w:t>
      </w:r>
    </w:p>
    <w:p w14:paraId="0532B4B0" w14:textId="77777777" w:rsidR="00BF0512" w:rsidRDefault="00BF0512" w:rsidP="00BF0512">
      <w:pPr>
        <w:pStyle w:val="CenterUnderline"/>
        <w:jc w:val="both"/>
        <w:rPr>
          <w:u w:val="none"/>
        </w:rPr>
      </w:pPr>
    </w:p>
    <w:p w14:paraId="743D3FD9" w14:textId="4376C791" w:rsidR="00BF0512" w:rsidRDefault="00BF0512" w:rsidP="00BF0512">
      <w:pPr>
        <w:pStyle w:val="CenterUnderline"/>
        <w:jc w:val="both"/>
        <w:rPr>
          <w:u w:val="none"/>
        </w:rPr>
      </w:pPr>
      <w:r>
        <w:rPr>
          <w:u w:val="none"/>
        </w:rPr>
        <w:tab/>
        <w:t xml:space="preserve">For associational standing, intervenors must meet the three-prong standing test set forth in </w:t>
      </w:r>
      <w:r>
        <w:t>Florida Home Builders Association v. Department of Labor and Employment Security</w:t>
      </w:r>
      <w:r>
        <w:rPr>
          <w:u w:val="none"/>
        </w:rPr>
        <w:t>, 412 So. 2d 351 (Fla. 1982).</w:t>
      </w:r>
      <w:r w:rsidR="00764CA4">
        <w:rPr>
          <w:u w:val="none"/>
        </w:rPr>
        <w:t xml:space="preserve"> </w:t>
      </w:r>
      <w:r>
        <w:rPr>
          <w:u w:val="none"/>
        </w:rPr>
        <w:t xml:space="preserve">The test is based on the </w:t>
      </w:r>
      <w:r>
        <w:t>Agrico</w:t>
      </w:r>
      <w:r>
        <w:rPr>
          <w:u w:val="none"/>
        </w:rPr>
        <w:t xml:space="preserve"> test but requires that (1) the association demonstrates that a substantial number of an association’s members may be substantially affected by the Commission’s decision in a docket, (2) the subject matter of the proceeding is within the association’s general scope of interest and activity, and (3) the relief requested is of a type appropriate for the association to receive on behalf of its members. </w:t>
      </w:r>
      <w:r>
        <w:t>Fla. Home Builders</w:t>
      </w:r>
      <w:r>
        <w:rPr>
          <w:u w:val="none"/>
        </w:rPr>
        <w:t>, 412 So. 2d at 353-54. FIPUG and Florida Rising both appear in their associational capacity as representatives of member groups</w:t>
      </w:r>
      <w:r w:rsidR="00F0415E">
        <w:rPr>
          <w:u w:val="none"/>
        </w:rPr>
        <w:t xml:space="preserve"> and shall be analyzed under the </w:t>
      </w:r>
      <w:r w:rsidR="00F0415E">
        <w:t>Florida Home Builders</w:t>
      </w:r>
      <w:r w:rsidR="00F0415E">
        <w:rPr>
          <w:u w:val="none"/>
        </w:rPr>
        <w:t xml:space="preserve"> test.</w:t>
      </w:r>
    </w:p>
    <w:p w14:paraId="626F5472" w14:textId="77777777" w:rsidR="009015F0" w:rsidRDefault="009015F0" w:rsidP="00BF0512">
      <w:pPr>
        <w:pStyle w:val="CenterUnderline"/>
        <w:jc w:val="both"/>
        <w:rPr>
          <w:u w:val="none"/>
        </w:rPr>
      </w:pPr>
    </w:p>
    <w:p w14:paraId="6498BB80" w14:textId="1206AE70" w:rsidR="009015F0" w:rsidRPr="00E11DA4" w:rsidRDefault="009015F0" w:rsidP="00BF0512">
      <w:pPr>
        <w:pStyle w:val="CenterUnderline"/>
        <w:jc w:val="both"/>
      </w:pPr>
      <w:r w:rsidRPr="00E11DA4">
        <w:t>Analysis</w:t>
      </w:r>
    </w:p>
    <w:p w14:paraId="6EA32237" w14:textId="77777777" w:rsidR="009015F0" w:rsidRDefault="009015F0" w:rsidP="00BF0512">
      <w:pPr>
        <w:pStyle w:val="CenterUnderline"/>
        <w:jc w:val="both"/>
        <w:rPr>
          <w:u w:val="none"/>
        </w:rPr>
      </w:pPr>
    </w:p>
    <w:p w14:paraId="07FFE39E" w14:textId="598ACC5A" w:rsidR="00216F6C" w:rsidRDefault="009015F0" w:rsidP="00BF0512">
      <w:pPr>
        <w:pStyle w:val="CenterUnderline"/>
        <w:jc w:val="both"/>
        <w:rPr>
          <w:u w:val="none"/>
        </w:rPr>
      </w:pPr>
      <w:r>
        <w:rPr>
          <w:u w:val="none"/>
        </w:rPr>
        <w:tab/>
        <w:t xml:space="preserve">Prior to applying </w:t>
      </w:r>
      <w:r w:rsidR="00C374FB">
        <w:rPr>
          <w:u w:val="none"/>
        </w:rPr>
        <w:t>either</w:t>
      </w:r>
      <w:r>
        <w:rPr>
          <w:u w:val="none"/>
        </w:rPr>
        <w:t xml:space="preserve"> test described above to the appropriate parties</w:t>
      </w:r>
      <w:r w:rsidR="002D48D7">
        <w:rPr>
          <w:u w:val="none"/>
        </w:rPr>
        <w:t xml:space="preserve"> for the purposes of </w:t>
      </w:r>
      <w:r w:rsidR="00E33EE9">
        <w:rPr>
          <w:u w:val="none"/>
        </w:rPr>
        <w:t xml:space="preserve">determining their respective </w:t>
      </w:r>
      <w:r w:rsidR="002D48D7">
        <w:rPr>
          <w:u w:val="none"/>
        </w:rPr>
        <w:t>standing</w:t>
      </w:r>
      <w:r>
        <w:rPr>
          <w:u w:val="none"/>
        </w:rPr>
        <w:t xml:space="preserve">, it is pertinent to understand what DEF’s petition seeks in this docket and identify the effects that </w:t>
      </w:r>
      <w:r w:rsidR="00D212B9">
        <w:rPr>
          <w:u w:val="none"/>
        </w:rPr>
        <w:t>may occur when this Commission decides</w:t>
      </w:r>
      <w:r w:rsidR="007C7C81">
        <w:rPr>
          <w:u w:val="none"/>
        </w:rPr>
        <w:t xml:space="preserve"> whether to approve, deny, or deny with modifications</w:t>
      </w:r>
      <w:r>
        <w:rPr>
          <w:u w:val="none"/>
        </w:rPr>
        <w:t xml:space="preserve"> DEF’s petition</w:t>
      </w:r>
      <w:r w:rsidR="007C7C81">
        <w:rPr>
          <w:u w:val="none"/>
        </w:rPr>
        <w:t>.</w:t>
      </w:r>
      <w:r>
        <w:rPr>
          <w:u w:val="none"/>
        </w:rPr>
        <w:t xml:space="preserve"> </w:t>
      </w:r>
      <w:r w:rsidR="00764CA4" w:rsidRPr="00764CA4">
        <w:rPr>
          <w:u w:val="none"/>
        </w:rPr>
        <w:t>Although base rates will remain unchanged at the conclusion of this docket under the 2024 Settlement Agreement, the Commission’s decision will establish terms and conditions governing future electric service that could reasonably affect the rates and costs borne by DEF customers.</w:t>
      </w:r>
      <w:r w:rsidR="00D212B9">
        <w:rPr>
          <w:u w:val="none"/>
        </w:rPr>
        <w:t xml:space="preserve"> </w:t>
      </w:r>
      <w:r w:rsidR="00764CA4">
        <w:rPr>
          <w:u w:val="none"/>
        </w:rPr>
        <w:t>S</w:t>
      </w:r>
      <w:r w:rsidR="00E33EE9">
        <w:rPr>
          <w:u w:val="none"/>
        </w:rPr>
        <w:t>tanding</w:t>
      </w:r>
      <w:r w:rsidR="003109B2">
        <w:rPr>
          <w:u w:val="none"/>
        </w:rPr>
        <w:t xml:space="preserve"> to participate in Commission proceedings</w:t>
      </w:r>
      <w:r w:rsidR="00E33EE9">
        <w:rPr>
          <w:u w:val="none"/>
        </w:rPr>
        <w:t xml:space="preserve"> is</w:t>
      </w:r>
      <w:r w:rsidR="00083411">
        <w:rPr>
          <w:u w:val="none"/>
        </w:rPr>
        <w:t xml:space="preserve"> generally</w:t>
      </w:r>
      <w:r w:rsidR="00E33EE9">
        <w:rPr>
          <w:u w:val="none"/>
        </w:rPr>
        <w:t xml:space="preserve"> a low bar</w:t>
      </w:r>
      <w:r w:rsidR="00AD7ECD">
        <w:rPr>
          <w:u w:val="none"/>
        </w:rPr>
        <w:t>.</w:t>
      </w:r>
      <w:r w:rsidR="004F3184">
        <w:rPr>
          <w:rStyle w:val="FootnoteReference"/>
          <w:u w:val="none"/>
        </w:rPr>
        <w:footnoteReference w:id="5"/>
      </w:r>
    </w:p>
    <w:p w14:paraId="493834C3" w14:textId="64CAD20D" w:rsidR="00F0415E" w:rsidRPr="00F0415E" w:rsidRDefault="00F0415E" w:rsidP="00E11DA4">
      <w:pPr>
        <w:pStyle w:val="CenterUnderline"/>
        <w:jc w:val="both"/>
        <w:rPr>
          <w:u w:val="none"/>
        </w:rPr>
      </w:pPr>
    </w:p>
    <w:p w14:paraId="7D31E2AA" w14:textId="77777777" w:rsidR="00216F6C" w:rsidRPr="003430A1" w:rsidRDefault="00216F6C" w:rsidP="00216F6C">
      <w:pPr>
        <w:pStyle w:val="ListParagraph"/>
        <w:numPr>
          <w:ilvl w:val="0"/>
          <w:numId w:val="1"/>
        </w:numPr>
        <w:jc w:val="both"/>
        <w:rPr>
          <w:rFonts w:ascii="Times New Roman" w:hAnsi="Times New Roman"/>
          <w:iCs/>
          <w:color w:val="212121"/>
          <w:u w:val="single"/>
        </w:rPr>
      </w:pPr>
      <w:r w:rsidRPr="003430A1">
        <w:rPr>
          <w:rFonts w:ascii="Times New Roman" w:hAnsi="Times New Roman"/>
          <w:iCs/>
          <w:color w:val="212121"/>
          <w:u w:val="single"/>
        </w:rPr>
        <w:t>PCS Phosphate’s Standing</w:t>
      </w:r>
    </w:p>
    <w:p w14:paraId="7DD18FFC" w14:textId="77777777" w:rsidR="00216F6C" w:rsidRDefault="00216F6C" w:rsidP="00216F6C">
      <w:pPr>
        <w:jc w:val="both"/>
        <w:rPr>
          <w:iCs/>
          <w:color w:val="212121"/>
        </w:rPr>
      </w:pPr>
    </w:p>
    <w:p w14:paraId="3886DDB9" w14:textId="22FBE68E" w:rsidR="00F17085" w:rsidRDefault="00216F6C" w:rsidP="00216F6C">
      <w:pPr>
        <w:ind w:firstLine="720"/>
        <w:jc w:val="both"/>
        <w:rPr>
          <w:iCs/>
          <w:color w:val="212121"/>
        </w:rPr>
      </w:pPr>
      <w:r>
        <w:rPr>
          <w:iCs/>
          <w:color w:val="212121"/>
        </w:rPr>
        <w:t>PCS Phosphate filed for intervention as an individual person whose substantial interests are or may be affected by the determination in this docket. As mentioned, PCS Phosphate submitted prefiled testimony and evidence into the record in support of its allegations of individual standing</w:t>
      </w:r>
      <w:r w:rsidR="00F17085">
        <w:rPr>
          <w:iCs/>
          <w:color w:val="212121"/>
        </w:rPr>
        <w:t xml:space="preserve"> through its witness, Tony Georgis</w:t>
      </w:r>
      <w:r>
        <w:rPr>
          <w:iCs/>
          <w:color w:val="212121"/>
        </w:rPr>
        <w:t xml:space="preserve">. All the parties to this docket have either supported or effectively conceded that PCS Phosphate has standing to intervene in this docket. </w:t>
      </w:r>
    </w:p>
    <w:p w14:paraId="3635EC54" w14:textId="77777777" w:rsidR="00F17085" w:rsidRDefault="00F17085" w:rsidP="00216F6C">
      <w:pPr>
        <w:ind w:firstLine="720"/>
        <w:jc w:val="both"/>
        <w:rPr>
          <w:iCs/>
          <w:color w:val="212121"/>
        </w:rPr>
      </w:pPr>
    </w:p>
    <w:p w14:paraId="6B8DBD0A" w14:textId="41512F5B" w:rsidR="00216F6C" w:rsidRDefault="00216F6C" w:rsidP="00216F6C">
      <w:pPr>
        <w:ind w:firstLine="720"/>
        <w:jc w:val="both"/>
        <w:rPr>
          <w:iCs/>
          <w:color w:val="212121"/>
        </w:rPr>
      </w:pPr>
      <w:r>
        <w:rPr>
          <w:iCs/>
          <w:color w:val="212121"/>
        </w:rPr>
        <w:t xml:space="preserve">The record supports that PCS Phosphate is a mining and manufacturing operation that is located within DEF’s electric service area and receives electric service from DEF under various DEF non-residential rate schedules approved by this Commission. </w:t>
      </w:r>
      <w:r w:rsidR="00F17085">
        <w:rPr>
          <w:iCs/>
          <w:color w:val="212121"/>
        </w:rPr>
        <w:t>Therefore, the record supports that PCS Phosphate is a customer of DEF. As mentioned above, our decision in this docket will affect</w:t>
      </w:r>
      <w:r w:rsidR="00DC58D2">
        <w:rPr>
          <w:iCs/>
          <w:color w:val="212121"/>
        </w:rPr>
        <w:t xml:space="preserve"> circumstances in the future for all DEF customers. PCS Phosphate must be allowed to protect its future interests as a customer of DEF and, for these reasons, </w:t>
      </w:r>
      <w:r>
        <w:rPr>
          <w:iCs/>
          <w:color w:val="212121"/>
        </w:rPr>
        <w:t>I find that PCS Phosphate has provided sufficient facts to demonstrate standing to intervene as a party in this proceeding.</w:t>
      </w:r>
    </w:p>
    <w:p w14:paraId="5966DA3E" w14:textId="3CCE79F4" w:rsidR="00764CA4" w:rsidRDefault="00764CA4">
      <w:pPr>
        <w:rPr>
          <w:iCs/>
          <w:color w:val="212121"/>
        </w:rPr>
      </w:pPr>
      <w:r>
        <w:rPr>
          <w:iCs/>
          <w:color w:val="212121"/>
        </w:rPr>
        <w:br w:type="page"/>
      </w:r>
    </w:p>
    <w:p w14:paraId="07FBF7C0" w14:textId="060A98B0" w:rsidR="00B32EE4" w:rsidRPr="003430A1" w:rsidRDefault="006C58FA" w:rsidP="006C58FA">
      <w:pPr>
        <w:pStyle w:val="ListParagraph"/>
        <w:numPr>
          <w:ilvl w:val="0"/>
          <w:numId w:val="1"/>
        </w:numPr>
        <w:jc w:val="both"/>
        <w:rPr>
          <w:rFonts w:ascii="Times New Roman" w:hAnsi="Times New Roman"/>
          <w:iCs/>
          <w:color w:val="212121"/>
          <w:u w:val="single"/>
        </w:rPr>
      </w:pPr>
      <w:r w:rsidRPr="003430A1">
        <w:rPr>
          <w:rFonts w:ascii="Times New Roman" w:hAnsi="Times New Roman"/>
          <w:iCs/>
          <w:color w:val="212121"/>
          <w:u w:val="single"/>
        </w:rPr>
        <w:lastRenderedPageBreak/>
        <w:t>FIPUG’s Standing</w:t>
      </w:r>
    </w:p>
    <w:p w14:paraId="311AD62F" w14:textId="77777777" w:rsidR="0064599B" w:rsidRDefault="0064599B" w:rsidP="0064599B">
      <w:pPr>
        <w:jc w:val="both"/>
        <w:rPr>
          <w:iCs/>
          <w:color w:val="212121"/>
        </w:rPr>
      </w:pPr>
    </w:p>
    <w:p w14:paraId="5A810A31" w14:textId="128679F9" w:rsidR="0064599B" w:rsidRDefault="0064599B" w:rsidP="0064599B">
      <w:pPr>
        <w:ind w:firstLine="720"/>
        <w:jc w:val="both"/>
        <w:rPr>
          <w:iCs/>
          <w:color w:val="212121"/>
        </w:rPr>
      </w:pPr>
      <w:r>
        <w:rPr>
          <w:iCs/>
          <w:color w:val="212121"/>
        </w:rPr>
        <w:t>FIPUG</w:t>
      </w:r>
      <w:r w:rsidR="003109B2">
        <w:rPr>
          <w:iCs/>
          <w:color w:val="212121"/>
        </w:rPr>
        <w:t xml:space="preserve"> asserts that it</w:t>
      </w:r>
      <w:r>
        <w:rPr>
          <w:iCs/>
          <w:color w:val="212121"/>
        </w:rPr>
        <w:t xml:space="preserve"> is a</w:t>
      </w:r>
      <w:r w:rsidR="00A921F9">
        <w:rPr>
          <w:iCs/>
          <w:color w:val="212121"/>
        </w:rPr>
        <w:t xml:space="preserve">n </w:t>
      </w:r>
      <w:r>
        <w:rPr>
          <w:iCs/>
          <w:color w:val="212121"/>
        </w:rPr>
        <w:t>association of industrial</w:t>
      </w:r>
      <w:r w:rsidR="00A921F9">
        <w:rPr>
          <w:iCs/>
          <w:color w:val="212121"/>
        </w:rPr>
        <w:t xml:space="preserve"> and commercial power</w:t>
      </w:r>
      <w:r>
        <w:rPr>
          <w:iCs/>
          <w:color w:val="212121"/>
        </w:rPr>
        <w:t xml:space="preserve"> users in Florida</w:t>
      </w:r>
      <w:r w:rsidR="00DD450E">
        <w:rPr>
          <w:iCs/>
          <w:color w:val="212121"/>
        </w:rPr>
        <w:t xml:space="preserve">, and therefore its standing must be analyzed under the </w:t>
      </w:r>
      <w:r w:rsidR="00DD450E" w:rsidRPr="00E11DA4">
        <w:rPr>
          <w:iCs/>
          <w:color w:val="212121"/>
          <w:u w:val="single"/>
        </w:rPr>
        <w:t>Florida Home Builders</w:t>
      </w:r>
      <w:r w:rsidR="00DD450E">
        <w:rPr>
          <w:iCs/>
          <w:color w:val="212121"/>
        </w:rPr>
        <w:t xml:space="preserve"> test. </w:t>
      </w:r>
      <w:r>
        <w:rPr>
          <w:iCs/>
          <w:color w:val="212121"/>
        </w:rPr>
        <w:t>FIPUG alleges that</w:t>
      </w:r>
      <w:r w:rsidR="00A921F9">
        <w:rPr>
          <w:iCs/>
          <w:color w:val="212121"/>
        </w:rPr>
        <w:t xml:space="preserve"> a substantial number of FIPUG members purchase electricity from DEF, and </w:t>
      </w:r>
      <w:r w:rsidR="00564BBE">
        <w:rPr>
          <w:iCs/>
          <w:color w:val="212121"/>
        </w:rPr>
        <w:t xml:space="preserve">further </w:t>
      </w:r>
      <w:r w:rsidR="00A921F9">
        <w:rPr>
          <w:iCs/>
          <w:color w:val="212121"/>
        </w:rPr>
        <w:t xml:space="preserve">allege that the substantial interests of those members will be affected by the outcome of this proceeding. FIPUG </w:t>
      </w:r>
      <w:r w:rsidR="003109B2">
        <w:rPr>
          <w:iCs/>
          <w:color w:val="212121"/>
        </w:rPr>
        <w:t>claims</w:t>
      </w:r>
      <w:r w:rsidR="00A921F9">
        <w:rPr>
          <w:iCs/>
          <w:color w:val="212121"/>
        </w:rPr>
        <w:t xml:space="preserve"> that, as an association, it has a direct and substantial interest in the issues raised and </w:t>
      </w:r>
      <w:r w:rsidR="003109B2">
        <w:rPr>
          <w:iCs/>
          <w:color w:val="212121"/>
        </w:rPr>
        <w:t xml:space="preserve">notes its </w:t>
      </w:r>
      <w:r w:rsidR="00A921F9">
        <w:rPr>
          <w:iCs/>
          <w:color w:val="212121"/>
        </w:rPr>
        <w:t>participat</w:t>
      </w:r>
      <w:r w:rsidR="003109B2">
        <w:rPr>
          <w:iCs/>
          <w:color w:val="212121"/>
        </w:rPr>
        <w:t>ion</w:t>
      </w:r>
      <w:r w:rsidR="00A921F9">
        <w:rPr>
          <w:iCs/>
          <w:color w:val="212121"/>
        </w:rPr>
        <w:t xml:space="preserve"> for decades as an intervenor in formal administrative proceedings before this Commission, including DEF rate cases.</w:t>
      </w:r>
    </w:p>
    <w:p w14:paraId="5717BDF3" w14:textId="77777777" w:rsidR="0064599B" w:rsidRDefault="0064599B" w:rsidP="0064599B">
      <w:pPr>
        <w:ind w:firstLine="720"/>
        <w:jc w:val="both"/>
        <w:rPr>
          <w:iCs/>
          <w:color w:val="212121"/>
        </w:rPr>
      </w:pPr>
    </w:p>
    <w:p w14:paraId="39748FF7" w14:textId="2EFB800A" w:rsidR="0064599B" w:rsidRDefault="0064599B">
      <w:pPr>
        <w:ind w:firstLine="720"/>
        <w:jc w:val="both"/>
        <w:rPr>
          <w:iCs/>
          <w:color w:val="212121"/>
        </w:rPr>
      </w:pPr>
      <w:r>
        <w:rPr>
          <w:iCs/>
          <w:color w:val="212121"/>
        </w:rPr>
        <w:t>FIPUG submitted prefiled testimony in support of its allegations of standing through</w:t>
      </w:r>
      <w:r w:rsidR="00991E90">
        <w:rPr>
          <w:iCs/>
          <w:color w:val="212121"/>
        </w:rPr>
        <w:t xml:space="preserve"> the personal knowledge of</w:t>
      </w:r>
      <w:r>
        <w:rPr>
          <w:iCs/>
          <w:color w:val="212121"/>
        </w:rPr>
        <w:t xml:space="preserve"> its witness, Jeffry Pollock</w:t>
      </w:r>
      <w:r w:rsidR="00991E90">
        <w:rPr>
          <w:iCs/>
          <w:color w:val="212121"/>
        </w:rPr>
        <w:t>.</w:t>
      </w:r>
      <w:r w:rsidR="00564BBE">
        <w:rPr>
          <w:iCs/>
          <w:color w:val="212121"/>
        </w:rPr>
        <w:t xml:space="preserve"> </w:t>
      </w:r>
      <w:r w:rsidR="00764CA4">
        <w:rPr>
          <w:iCs/>
          <w:color w:val="212121"/>
        </w:rPr>
        <w:t>Witness</w:t>
      </w:r>
      <w:r w:rsidR="00564BBE">
        <w:rPr>
          <w:iCs/>
          <w:color w:val="212121"/>
        </w:rPr>
        <w:t xml:space="preserve"> Pollock testified that a substantial number of FIPUG members purchase electricity from DEF. He testified that such members are among the largest DEF customers, requiring reliable and affordably-priced electricity. these members have a direct and substantial interest in the outcome of this docket </w:t>
      </w:r>
      <w:r w:rsidR="00764CA4">
        <w:rPr>
          <w:iCs/>
          <w:color w:val="212121"/>
        </w:rPr>
        <w:t>as a result of</w:t>
      </w:r>
      <w:r w:rsidR="00564BBE">
        <w:rPr>
          <w:iCs/>
          <w:color w:val="212121"/>
        </w:rPr>
        <w:t xml:space="preserve"> the LLCP, LLCA, and revised CIAC tariff</w:t>
      </w:r>
      <w:r w:rsidR="00764CA4">
        <w:rPr>
          <w:iCs/>
          <w:color w:val="212121"/>
        </w:rPr>
        <w:t>.</w:t>
      </w:r>
    </w:p>
    <w:p w14:paraId="6534CB9E" w14:textId="77777777" w:rsidR="003109B2" w:rsidRDefault="003109B2">
      <w:pPr>
        <w:ind w:firstLine="720"/>
        <w:jc w:val="both"/>
        <w:rPr>
          <w:iCs/>
          <w:color w:val="212121"/>
        </w:rPr>
      </w:pPr>
    </w:p>
    <w:p w14:paraId="3862438F" w14:textId="5D13771B" w:rsidR="003109B2" w:rsidRPr="003109B2" w:rsidRDefault="003109B2">
      <w:pPr>
        <w:ind w:firstLine="720"/>
        <w:jc w:val="both"/>
        <w:rPr>
          <w:iCs/>
          <w:color w:val="212121"/>
        </w:rPr>
      </w:pPr>
      <w:r>
        <w:rPr>
          <w:iCs/>
          <w:color w:val="212121"/>
        </w:rPr>
        <w:t xml:space="preserve">OPC has opposed FIPUG’s standing in this docket </w:t>
      </w:r>
      <w:r w:rsidR="00E53451">
        <w:rPr>
          <w:iCs/>
          <w:color w:val="212121"/>
        </w:rPr>
        <w:t>by asserting</w:t>
      </w:r>
      <w:r>
        <w:rPr>
          <w:iCs/>
          <w:color w:val="212121"/>
        </w:rPr>
        <w:t xml:space="preserve"> that FIPUG has failed to meet the first and second prongs of the </w:t>
      </w:r>
      <w:r>
        <w:rPr>
          <w:iCs/>
          <w:color w:val="212121"/>
          <w:u w:val="single"/>
        </w:rPr>
        <w:t>Florida Home Builders</w:t>
      </w:r>
      <w:r>
        <w:rPr>
          <w:iCs/>
          <w:color w:val="212121"/>
        </w:rPr>
        <w:t xml:space="preserve"> test. The crux of OPC’s argument is that FIPUG has failed to disclose any </w:t>
      </w:r>
      <w:r w:rsidR="00764CA4">
        <w:rPr>
          <w:iCs/>
          <w:color w:val="212121"/>
        </w:rPr>
        <w:t xml:space="preserve">of </w:t>
      </w:r>
      <w:r>
        <w:rPr>
          <w:iCs/>
          <w:color w:val="212121"/>
        </w:rPr>
        <w:t>its members as record evidence</w:t>
      </w:r>
      <w:r w:rsidR="00E53451">
        <w:rPr>
          <w:iCs/>
          <w:color w:val="212121"/>
        </w:rPr>
        <w:t xml:space="preserve"> and, therefore, ha</w:t>
      </w:r>
      <w:r w:rsidR="00764CA4">
        <w:rPr>
          <w:iCs/>
          <w:color w:val="212121"/>
        </w:rPr>
        <w:t>s</w:t>
      </w:r>
      <w:r w:rsidR="00E53451">
        <w:rPr>
          <w:iCs/>
          <w:color w:val="212121"/>
        </w:rPr>
        <w:t xml:space="preserve"> failed to meet its burden to establish associational standing.</w:t>
      </w:r>
    </w:p>
    <w:p w14:paraId="26259F43" w14:textId="77777777" w:rsidR="00DC58D2" w:rsidRDefault="00DC58D2">
      <w:pPr>
        <w:ind w:firstLine="720"/>
        <w:jc w:val="both"/>
        <w:rPr>
          <w:iCs/>
          <w:color w:val="212121"/>
        </w:rPr>
      </w:pPr>
    </w:p>
    <w:p w14:paraId="611D5BFB" w14:textId="04AB3EA1" w:rsidR="00DC58D2" w:rsidRPr="0064599B" w:rsidRDefault="00437FAE" w:rsidP="00E11DA4">
      <w:pPr>
        <w:ind w:firstLine="720"/>
        <w:jc w:val="both"/>
        <w:rPr>
          <w:iCs/>
          <w:color w:val="212121"/>
        </w:rPr>
      </w:pPr>
      <w:r w:rsidRPr="00437FAE">
        <w:rPr>
          <w:iCs/>
          <w:color w:val="212121"/>
        </w:rPr>
        <w:t xml:space="preserve">I find that FIPUG has presented sufficient record evidence to establish associational standing. FIPUG’s prefiled testimony establishes that it represents members who are DEF customers and whose interests could reasonably be affected by the Commission’s decision in this proceeding. Although FIPUG did not identify individual members by name, the </w:t>
      </w:r>
      <w:r w:rsidRPr="00764CA4">
        <w:rPr>
          <w:color w:val="212121"/>
          <w:u w:val="single"/>
        </w:rPr>
        <w:t>Florida Home Builders</w:t>
      </w:r>
      <w:r w:rsidRPr="00437FAE">
        <w:rPr>
          <w:iCs/>
          <w:color w:val="212121"/>
        </w:rPr>
        <w:t xml:space="preserve"> test does not impose a specific numerical threshold or require that affected members be individually identified in every case. </w:t>
      </w:r>
      <w:r w:rsidR="00DC58D2">
        <w:rPr>
          <w:iCs/>
          <w:color w:val="212121"/>
        </w:rPr>
        <w:t>On the basis of th</w:t>
      </w:r>
      <w:r>
        <w:rPr>
          <w:iCs/>
          <w:color w:val="212121"/>
        </w:rPr>
        <w:t xml:space="preserve">at </w:t>
      </w:r>
      <w:r w:rsidR="00DC58D2">
        <w:rPr>
          <w:iCs/>
          <w:color w:val="212121"/>
        </w:rPr>
        <w:t xml:space="preserve">record evidence and the reasonable inferences from that evidence, </w:t>
      </w:r>
      <w:r w:rsidR="003109B2">
        <w:rPr>
          <w:iCs/>
          <w:color w:val="212121"/>
        </w:rPr>
        <w:t>I</w:t>
      </w:r>
      <w:r w:rsidR="00DC58D2">
        <w:rPr>
          <w:iCs/>
          <w:color w:val="212121"/>
        </w:rPr>
        <w:t xml:space="preserve"> find that FIPUG has provided sufficient facts to demonstrate standing in this proceeding.</w:t>
      </w:r>
    </w:p>
    <w:p w14:paraId="06671130" w14:textId="77777777" w:rsidR="006C58FA" w:rsidRDefault="006C58FA" w:rsidP="006C58FA">
      <w:pPr>
        <w:jc w:val="both"/>
        <w:rPr>
          <w:iCs/>
          <w:color w:val="212121"/>
        </w:rPr>
      </w:pPr>
    </w:p>
    <w:p w14:paraId="7E45A06C" w14:textId="40D70039" w:rsidR="006C58FA" w:rsidRPr="003430A1" w:rsidRDefault="006C58FA" w:rsidP="006C58FA">
      <w:pPr>
        <w:pStyle w:val="ListParagraph"/>
        <w:numPr>
          <w:ilvl w:val="0"/>
          <w:numId w:val="1"/>
        </w:numPr>
        <w:jc w:val="both"/>
        <w:rPr>
          <w:rFonts w:ascii="Times New Roman" w:hAnsi="Times New Roman"/>
          <w:iCs/>
          <w:color w:val="212121"/>
          <w:u w:val="single"/>
        </w:rPr>
      </w:pPr>
      <w:r w:rsidRPr="003430A1">
        <w:rPr>
          <w:rFonts w:ascii="Times New Roman" w:hAnsi="Times New Roman"/>
          <w:iCs/>
          <w:color w:val="212121"/>
          <w:u w:val="single"/>
        </w:rPr>
        <w:t>FR’s Standing</w:t>
      </w:r>
    </w:p>
    <w:p w14:paraId="47EE0646" w14:textId="77777777" w:rsidR="0064599B" w:rsidRDefault="0064599B" w:rsidP="0064599B">
      <w:pPr>
        <w:jc w:val="both"/>
        <w:rPr>
          <w:iCs/>
          <w:color w:val="212121"/>
        </w:rPr>
      </w:pPr>
    </w:p>
    <w:p w14:paraId="645DC030" w14:textId="5FBF0DED" w:rsidR="006C58FA" w:rsidRDefault="0064599B" w:rsidP="0064599B">
      <w:pPr>
        <w:ind w:firstLine="720"/>
        <w:jc w:val="both"/>
        <w:rPr>
          <w:iCs/>
          <w:color w:val="212121"/>
        </w:rPr>
      </w:pPr>
      <w:r>
        <w:rPr>
          <w:iCs/>
          <w:color w:val="212121"/>
        </w:rPr>
        <w:t xml:space="preserve">FR represents that it is a membership-based organization </w:t>
      </w:r>
      <w:r w:rsidR="00F569C5">
        <w:rPr>
          <w:iCs/>
          <w:color w:val="212121"/>
        </w:rPr>
        <w:t>powered by people and driven to advance economic and racial justice across Florida</w:t>
      </w:r>
      <w:r>
        <w:rPr>
          <w:iCs/>
          <w:color w:val="212121"/>
        </w:rPr>
        <w:t xml:space="preserve">. </w:t>
      </w:r>
      <w:r w:rsidR="00083411">
        <w:rPr>
          <w:iCs/>
          <w:color w:val="212121"/>
        </w:rPr>
        <w:t>FR filed for associational standing to represent the</w:t>
      </w:r>
      <w:r w:rsidR="003430A1">
        <w:rPr>
          <w:iCs/>
          <w:color w:val="212121"/>
        </w:rPr>
        <w:t>m</w:t>
      </w:r>
      <w:r w:rsidR="00083411">
        <w:rPr>
          <w:iCs/>
          <w:color w:val="212121"/>
        </w:rPr>
        <w:t xml:space="preserve"> and, therefore, its standing must be analyzed under the </w:t>
      </w:r>
      <w:r w:rsidR="00083411" w:rsidRPr="00E11DA4">
        <w:rPr>
          <w:iCs/>
          <w:color w:val="212121"/>
          <w:u w:val="single"/>
        </w:rPr>
        <w:t>Florida Home Builders</w:t>
      </w:r>
      <w:r w:rsidR="00083411">
        <w:rPr>
          <w:iCs/>
          <w:color w:val="212121"/>
        </w:rPr>
        <w:t xml:space="preserve"> test. </w:t>
      </w:r>
      <w:r w:rsidR="00DD450E">
        <w:rPr>
          <w:iCs/>
          <w:color w:val="212121"/>
        </w:rPr>
        <w:t xml:space="preserve">FR asserts that it has identified at least 117 members that take service from DEF by cross-referencing its members addresses through DEF’s website to confirm each member is served by DEF, as well as members in additional counties served by DEF. FR argues that this amount of DEF customers is clearly a “substantial number” as it relates to the first prong of the </w:t>
      </w:r>
      <w:r w:rsidR="00DD450E" w:rsidRPr="00E11DA4">
        <w:rPr>
          <w:iCs/>
          <w:color w:val="212121"/>
          <w:u w:val="single"/>
        </w:rPr>
        <w:t>Florida Home Builders</w:t>
      </w:r>
      <w:r w:rsidR="00DD450E">
        <w:rPr>
          <w:iCs/>
          <w:color w:val="212121"/>
        </w:rPr>
        <w:t xml:space="preserve"> test. </w:t>
      </w:r>
    </w:p>
    <w:p w14:paraId="4B064CBA" w14:textId="77777777" w:rsidR="0064599B" w:rsidRDefault="0064599B" w:rsidP="0064599B">
      <w:pPr>
        <w:ind w:firstLine="720"/>
        <w:jc w:val="both"/>
        <w:rPr>
          <w:iCs/>
          <w:color w:val="212121"/>
        </w:rPr>
      </w:pPr>
    </w:p>
    <w:p w14:paraId="563EC0C1" w14:textId="64E6C332" w:rsidR="0064599B" w:rsidRDefault="0064599B">
      <w:pPr>
        <w:ind w:firstLine="720"/>
        <w:jc w:val="both"/>
        <w:rPr>
          <w:iCs/>
          <w:color w:val="212121"/>
        </w:rPr>
      </w:pPr>
      <w:r>
        <w:rPr>
          <w:iCs/>
          <w:color w:val="212121"/>
        </w:rPr>
        <w:t xml:space="preserve">FR submitted prefiled testimony and evidence in support of its allegations of standing through its witnesses, </w:t>
      </w:r>
      <w:r>
        <w:rPr>
          <w:bCs/>
        </w:rPr>
        <w:t>Katina Rentas Negrón and Karl Rábago.</w:t>
      </w:r>
      <w:r w:rsidR="00C200AE" w:rsidRPr="00C200AE">
        <w:rPr>
          <w:iCs/>
          <w:color w:val="212121"/>
        </w:rPr>
        <w:t xml:space="preserve"> </w:t>
      </w:r>
      <w:r w:rsidR="00764CA4">
        <w:rPr>
          <w:iCs/>
          <w:color w:val="212121"/>
        </w:rPr>
        <w:t>Witness</w:t>
      </w:r>
      <w:r w:rsidR="00A6027B">
        <w:rPr>
          <w:iCs/>
          <w:color w:val="212121"/>
        </w:rPr>
        <w:t xml:space="preserve"> </w:t>
      </w:r>
      <w:r w:rsidR="00A6027B">
        <w:rPr>
          <w:bCs/>
        </w:rPr>
        <w:t>Rentas</w:t>
      </w:r>
      <w:r w:rsidR="00764CA4">
        <w:rPr>
          <w:bCs/>
        </w:rPr>
        <w:t xml:space="preserve"> Negrón</w:t>
      </w:r>
      <w:r w:rsidR="00A6027B">
        <w:rPr>
          <w:bCs/>
        </w:rPr>
        <w:t xml:space="preserve"> provided testimony to describe FR as an association and support FR’s allegation that its members do </w:t>
      </w:r>
      <w:r w:rsidR="00A6027B">
        <w:rPr>
          <w:bCs/>
        </w:rPr>
        <w:lastRenderedPageBreak/>
        <w:t xml:space="preserve">include a substantial number of DEF customers. </w:t>
      </w:r>
      <w:r w:rsidR="00764CA4">
        <w:rPr>
          <w:bCs/>
        </w:rPr>
        <w:t>Witness</w:t>
      </w:r>
      <w:r w:rsidR="00A6027B">
        <w:rPr>
          <w:bCs/>
        </w:rPr>
        <w:t xml:space="preserve"> Rábago’s testimony asserted an expectation that DEF’s proposal will create cost-shifting on all customers—including residential customers—to serve data centers and, therefore, FR’s members will be substantially impacted by a decision in this docket.</w:t>
      </w:r>
    </w:p>
    <w:p w14:paraId="0CA7DE45" w14:textId="77777777" w:rsidR="00C200AE" w:rsidRDefault="00C200AE">
      <w:pPr>
        <w:ind w:firstLine="720"/>
        <w:jc w:val="both"/>
        <w:rPr>
          <w:iCs/>
          <w:color w:val="212121"/>
        </w:rPr>
      </w:pPr>
    </w:p>
    <w:p w14:paraId="422866C7" w14:textId="1EFE4B87" w:rsidR="00DC58D2" w:rsidRDefault="00C200AE" w:rsidP="00E11DA4">
      <w:pPr>
        <w:ind w:firstLine="720"/>
        <w:jc w:val="both"/>
        <w:rPr>
          <w:iCs/>
          <w:color w:val="212121"/>
        </w:rPr>
      </w:pPr>
      <w:r>
        <w:rPr>
          <w:iCs/>
          <w:color w:val="212121"/>
        </w:rPr>
        <w:t xml:space="preserve">DEF </w:t>
      </w:r>
      <w:r w:rsidR="0029526B">
        <w:rPr>
          <w:iCs/>
          <w:color w:val="212121"/>
        </w:rPr>
        <w:t>has</w:t>
      </w:r>
      <w:r w:rsidR="00DD450E">
        <w:rPr>
          <w:iCs/>
          <w:color w:val="212121"/>
        </w:rPr>
        <w:t xml:space="preserve"> challenged</w:t>
      </w:r>
      <w:r>
        <w:rPr>
          <w:iCs/>
          <w:color w:val="212121"/>
        </w:rPr>
        <w:t xml:space="preserve"> FR’s standing in this docket</w:t>
      </w:r>
      <w:r w:rsidR="0029526B">
        <w:rPr>
          <w:iCs/>
          <w:color w:val="212121"/>
        </w:rPr>
        <w:t xml:space="preserve">, </w:t>
      </w:r>
      <w:r w:rsidR="00DD450E">
        <w:rPr>
          <w:iCs/>
          <w:color w:val="212121"/>
        </w:rPr>
        <w:t>argu</w:t>
      </w:r>
      <w:r w:rsidR="0029526B">
        <w:rPr>
          <w:iCs/>
          <w:color w:val="212121"/>
        </w:rPr>
        <w:t>ing</w:t>
      </w:r>
      <w:r w:rsidR="00DD450E">
        <w:rPr>
          <w:iCs/>
          <w:color w:val="212121"/>
        </w:rPr>
        <w:t xml:space="preserve"> that </w:t>
      </w:r>
      <w:r w:rsidR="00F47902">
        <w:rPr>
          <w:iCs/>
          <w:color w:val="212121"/>
        </w:rPr>
        <w:t>FR has not produced any competent evidence that a substantial number of its members are DEF</w:t>
      </w:r>
      <w:r w:rsidR="0029526B">
        <w:rPr>
          <w:iCs/>
          <w:color w:val="212121"/>
        </w:rPr>
        <w:t xml:space="preserve"> </w:t>
      </w:r>
      <w:r w:rsidR="00764CA4">
        <w:rPr>
          <w:iCs/>
          <w:color w:val="212121"/>
        </w:rPr>
        <w:t xml:space="preserve">customers </w:t>
      </w:r>
      <w:r w:rsidR="0029526B">
        <w:rPr>
          <w:iCs/>
          <w:color w:val="212121"/>
        </w:rPr>
        <w:t xml:space="preserve">and asserting that FR’s alleged injury is </w:t>
      </w:r>
      <w:r w:rsidR="003430A1">
        <w:rPr>
          <w:iCs/>
          <w:color w:val="212121"/>
        </w:rPr>
        <w:t>speculative</w:t>
      </w:r>
      <w:r w:rsidR="00F47902">
        <w:rPr>
          <w:iCs/>
          <w:color w:val="212121"/>
        </w:rPr>
        <w:t xml:space="preserve">. </w:t>
      </w:r>
      <w:r w:rsidR="00DD450E">
        <w:rPr>
          <w:iCs/>
          <w:color w:val="212121"/>
        </w:rPr>
        <w:t>I do not find DEF</w:t>
      </w:r>
      <w:r w:rsidR="0029526B">
        <w:rPr>
          <w:iCs/>
          <w:color w:val="212121"/>
        </w:rPr>
        <w:t xml:space="preserve">’s </w:t>
      </w:r>
      <w:r w:rsidR="00DD450E">
        <w:rPr>
          <w:iCs/>
          <w:color w:val="212121"/>
        </w:rPr>
        <w:t>argument</w:t>
      </w:r>
      <w:r w:rsidR="009A0E15">
        <w:rPr>
          <w:iCs/>
          <w:color w:val="212121"/>
        </w:rPr>
        <w:t>s</w:t>
      </w:r>
      <w:r w:rsidR="00DD450E">
        <w:rPr>
          <w:iCs/>
          <w:color w:val="212121"/>
        </w:rPr>
        <w:t xml:space="preserve"> compelling. FR has presented sufficient record evidence through prefiled testimony that a substantial number of its members are customers of DEF, and such members must be allowed to protect their future interests through participation in this docket. </w:t>
      </w:r>
      <w:r w:rsidR="00DC58D2">
        <w:rPr>
          <w:iCs/>
          <w:color w:val="212121"/>
        </w:rPr>
        <w:t xml:space="preserve">On the basis of the record evidence and the reasonable inferences from that evidence, </w:t>
      </w:r>
      <w:r w:rsidR="003109B2">
        <w:rPr>
          <w:iCs/>
          <w:color w:val="212121"/>
        </w:rPr>
        <w:t>I</w:t>
      </w:r>
      <w:r w:rsidR="00DC58D2">
        <w:rPr>
          <w:iCs/>
          <w:color w:val="212121"/>
        </w:rPr>
        <w:t xml:space="preserve"> find that FR has provided sufficient facts to demonstrate standing in this proceeding.</w:t>
      </w:r>
    </w:p>
    <w:p w14:paraId="41DC7F1D" w14:textId="77777777" w:rsidR="006C58FA" w:rsidRDefault="006C58FA" w:rsidP="006C58FA">
      <w:pPr>
        <w:jc w:val="both"/>
        <w:rPr>
          <w:iCs/>
          <w:color w:val="212121"/>
        </w:rPr>
      </w:pPr>
    </w:p>
    <w:p w14:paraId="1C2ACD1B" w14:textId="440228E7" w:rsidR="006C58FA" w:rsidRPr="003430A1" w:rsidRDefault="006C58FA" w:rsidP="006C58FA">
      <w:pPr>
        <w:pStyle w:val="ListParagraph"/>
        <w:numPr>
          <w:ilvl w:val="0"/>
          <w:numId w:val="1"/>
        </w:numPr>
        <w:jc w:val="both"/>
        <w:rPr>
          <w:rFonts w:ascii="Times New Roman" w:hAnsi="Times New Roman"/>
          <w:iCs/>
          <w:color w:val="212121"/>
          <w:u w:val="single"/>
        </w:rPr>
      </w:pPr>
      <w:r w:rsidRPr="003430A1">
        <w:rPr>
          <w:rFonts w:ascii="Times New Roman" w:hAnsi="Times New Roman"/>
          <w:iCs/>
          <w:color w:val="212121"/>
          <w:u w:val="single"/>
        </w:rPr>
        <w:t>Nucor’s Standing</w:t>
      </w:r>
    </w:p>
    <w:p w14:paraId="5ABA681A" w14:textId="77777777" w:rsidR="006C58FA" w:rsidRDefault="006C58FA" w:rsidP="006C58FA">
      <w:pPr>
        <w:jc w:val="both"/>
        <w:rPr>
          <w:iCs/>
          <w:color w:val="212121"/>
        </w:rPr>
      </w:pPr>
    </w:p>
    <w:p w14:paraId="49D99ED4" w14:textId="29DCD5D5" w:rsidR="006C58FA" w:rsidRDefault="00D33F4C" w:rsidP="00E11DA4">
      <w:pPr>
        <w:ind w:firstLine="720"/>
        <w:jc w:val="both"/>
        <w:rPr>
          <w:iCs/>
          <w:color w:val="212121"/>
        </w:rPr>
      </w:pPr>
      <w:r>
        <w:rPr>
          <w:iCs/>
          <w:color w:val="212121"/>
        </w:rPr>
        <w:t>Regarding Nucor’s standing in this docket, I approve the Type 2 stipulation introduced into the record as follows: Yes, Nucor Steel Florida, Inc., as an individual customer whose rates could ultimately be impacted by this proceeding, has standing.</w:t>
      </w:r>
    </w:p>
    <w:p w14:paraId="04BA2F84" w14:textId="77777777" w:rsidR="006C58FA" w:rsidRDefault="006C58FA" w:rsidP="006C58FA">
      <w:pPr>
        <w:jc w:val="both"/>
        <w:rPr>
          <w:iCs/>
          <w:color w:val="212121"/>
        </w:rPr>
      </w:pPr>
    </w:p>
    <w:p w14:paraId="7F28A969" w14:textId="3F7C5D4A" w:rsidR="006C58FA" w:rsidRDefault="006C58FA" w:rsidP="006C58FA">
      <w:pPr>
        <w:jc w:val="both"/>
        <w:rPr>
          <w:iCs/>
          <w:color w:val="212121"/>
        </w:rPr>
      </w:pPr>
      <w:r w:rsidRPr="00E11DA4">
        <w:rPr>
          <w:iCs/>
          <w:color w:val="212121"/>
          <w:u w:val="single"/>
        </w:rPr>
        <w:t>Conclusion</w:t>
      </w:r>
    </w:p>
    <w:p w14:paraId="598CEBE9" w14:textId="77777777" w:rsidR="006C58FA" w:rsidRDefault="006C58FA" w:rsidP="006C58FA">
      <w:pPr>
        <w:jc w:val="both"/>
        <w:rPr>
          <w:iCs/>
          <w:color w:val="212121"/>
        </w:rPr>
      </w:pPr>
    </w:p>
    <w:p w14:paraId="4CC0D915" w14:textId="332B5148" w:rsidR="006C58FA" w:rsidRDefault="006C58FA" w:rsidP="006C58FA">
      <w:pPr>
        <w:jc w:val="both"/>
        <w:rPr>
          <w:iCs/>
          <w:color w:val="212121"/>
        </w:rPr>
      </w:pPr>
      <w:r>
        <w:rPr>
          <w:iCs/>
          <w:color w:val="212121"/>
        </w:rPr>
        <w:tab/>
        <w:t>For the foregoing reasons,</w:t>
      </w:r>
      <w:r w:rsidR="002D3BFB">
        <w:rPr>
          <w:iCs/>
          <w:color w:val="212121"/>
        </w:rPr>
        <w:t xml:space="preserve"> I find that</w:t>
      </w:r>
      <w:r w:rsidR="003430A1">
        <w:rPr>
          <w:iCs/>
          <w:color w:val="212121"/>
        </w:rPr>
        <w:t xml:space="preserve"> PCS Phosphate,</w:t>
      </w:r>
      <w:r>
        <w:rPr>
          <w:iCs/>
          <w:color w:val="212121"/>
        </w:rPr>
        <w:t xml:space="preserve"> FIPUG, FR</w:t>
      </w:r>
      <w:r w:rsidR="003430A1">
        <w:rPr>
          <w:iCs/>
          <w:color w:val="212121"/>
        </w:rPr>
        <w:t>, and Nucor</w:t>
      </w:r>
      <w:r w:rsidR="002D3BFB">
        <w:rPr>
          <w:iCs/>
          <w:color w:val="212121"/>
        </w:rPr>
        <w:t xml:space="preserve"> have </w:t>
      </w:r>
      <w:r>
        <w:rPr>
          <w:iCs/>
          <w:color w:val="212121"/>
        </w:rPr>
        <w:t xml:space="preserve">standing to </w:t>
      </w:r>
      <w:r w:rsidR="00D1212D">
        <w:rPr>
          <w:iCs/>
          <w:color w:val="212121"/>
        </w:rPr>
        <w:t xml:space="preserve">intervene as parties </w:t>
      </w:r>
      <w:r>
        <w:rPr>
          <w:iCs/>
          <w:color w:val="212121"/>
        </w:rPr>
        <w:t>in this docket.</w:t>
      </w:r>
    </w:p>
    <w:p w14:paraId="432927AC" w14:textId="77777777" w:rsidR="006C58FA" w:rsidRPr="006C58FA" w:rsidRDefault="006C58FA" w:rsidP="00E11DA4">
      <w:pPr>
        <w:pStyle w:val="ListParagraph"/>
        <w:ind w:left="0"/>
        <w:jc w:val="both"/>
        <w:rPr>
          <w:iCs/>
          <w:color w:val="212121"/>
        </w:rPr>
      </w:pPr>
    </w:p>
    <w:p w14:paraId="685C43BC" w14:textId="77777777" w:rsidR="00B32EE4" w:rsidRPr="00817318" w:rsidRDefault="00B32EE4" w:rsidP="00B32EE4">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14:paraId="369F6BF9" w14:textId="77777777" w:rsidR="00B32EE4" w:rsidRPr="00817318" w:rsidRDefault="00B32EE4" w:rsidP="00B32EE4">
      <w:pPr>
        <w:pStyle w:val="ListParagraph"/>
        <w:ind w:left="0"/>
        <w:jc w:val="both"/>
        <w:rPr>
          <w:rFonts w:ascii="Times New Roman" w:hAnsi="Times New Roman"/>
          <w:iCs/>
          <w:color w:val="212121"/>
        </w:rPr>
      </w:pPr>
    </w:p>
    <w:p w14:paraId="2D3FEC11" w14:textId="07B43B0A" w:rsidR="00B32EE4" w:rsidRDefault="00B32EE4" w:rsidP="00B32EE4">
      <w:pPr>
        <w:pStyle w:val="OrderBody"/>
        <w:rPr>
          <w:iCs/>
          <w:color w:val="212121"/>
        </w:rPr>
      </w:pPr>
      <w:r w:rsidRPr="00817318">
        <w:rPr>
          <w:iCs/>
          <w:color w:val="212121"/>
        </w:rPr>
        <w:tab/>
        <w:t>ORDERED by Commissioner</w:t>
      </w:r>
      <w:r>
        <w:rPr>
          <w:iCs/>
          <w:color w:val="212121"/>
        </w:rPr>
        <w:t xml:space="preserve"> Gary F. Clark</w:t>
      </w:r>
      <w:r w:rsidRPr="00817318">
        <w:rPr>
          <w:iCs/>
          <w:color w:val="212121"/>
        </w:rPr>
        <w:t xml:space="preserve">, as Prehearing Officer, that </w:t>
      </w:r>
      <w:r w:rsidR="003430A1">
        <w:rPr>
          <w:iCs/>
          <w:color w:val="212121"/>
        </w:rPr>
        <w:t>PCS Phosphate</w:t>
      </w:r>
      <w:r w:rsidR="00BF4395">
        <w:rPr>
          <w:iCs/>
          <w:color w:val="212121"/>
        </w:rPr>
        <w:t xml:space="preserve"> – White Springs;</w:t>
      </w:r>
      <w:r w:rsidR="003430A1">
        <w:rPr>
          <w:iCs/>
          <w:color w:val="212121"/>
        </w:rPr>
        <w:t xml:space="preserve"> the Florida Industrial Power Users Group</w:t>
      </w:r>
      <w:r w:rsidR="00BF4395">
        <w:rPr>
          <w:iCs/>
          <w:color w:val="212121"/>
        </w:rPr>
        <w:t>;</w:t>
      </w:r>
      <w:r w:rsidR="003430A1">
        <w:rPr>
          <w:iCs/>
          <w:color w:val="212121"/>
        </w:rPr>
        <w:t xml:space="preserve"> Florida Rising, Inc.; and Nucor Steel Florida, Inc. have standing as laid out in this order</w:t>
      </w:r>
      <w:r w:rsidRPr="00817318">
        <w:rPr>
          <w:iCs/>
          <w:color w:val="212121"/>
        </w:rPr>
        <w:t>.</w:t>
      </w:r>
    </w:p>
    <w:p w14:paraId="3550A068" w14:textId="5EB398D9" w:rsidR="00B32EE4" w:rsidRDefault="00B32EE4" w:rsidP="00B32EE4">
      <w:pPr>
        <w:pStyle w:val="OrderBody"/>
        <w:keepNext/>
        <w:keepLines/>
        <w:rPr>
          <w:iCs/>
          <w:color w:val="212121"/>
        </w:rPr>
      </w:pPr>
      <w:r>
        <w:rPr>
          <w:iCs/>
          <w:color w:val="212121"/>
        </w:rPr>
        <w:lastRenderedPageBreak/>
        <w:tab/>
        <w:t xml:space="preserve">By ORDER of Commissioner Gary F. Clark, as Prehearing Officer, this </w:t>
      </w:r>
      <w:bookmarkStart w:id="6" w:name="replaceDate"/>
      <w:bookmarkEnd w:id="6"/>
      <w:r w:rsidR="002C2531">
        <w:rPr>
          <w:iCs/>
          <w:color w:val="212121"/>
          <w:u w:val="single"/>
        </w:rPr>
        <w:t>24th</w:t>
      </w:r>
      <w:r w:rsidR="002C2531">
        <w:rPr>
          <w:iCs/>
          <w:color w:val="212121"/>
        </w:rPr>
        <w:t xml:space="preserve"> day of </w:t>
      </w:r>
      <w:r w:rsidR="002C2531">
        <w:rPr>
          <w:iCs/>
          <w:color w:val="212121"/>
          <w:u w:val="single"/>
        </w:rPr>
        <w:t>August</w:t>
      </w:r>
      <w:r w:rsidR="002C2531">
        <w:rPr>
          <w:iCs/>
          <w:color w:val="212121"/>
        </w:rPr>
        <w:t xml:space="preserve">, </w:t>
      </w:r>
      <w:r w:rsidR="002C2531">
        <w:rPr>
          <w:iCs/>
          <w:color w:val="212121"/>
          <w:u w:val="single"/>
        </w:rPr>
        <w:t>2026</w:t>
      </w:r>
      <w:r w:rsidR="002C2531">
        <w:rPr>
          <w:iCs/>
          <w:color w:val="212121"/>
        </w:rPr>
        <w:t>.</w:t>
      </w:r>
    </w:p>
    <w:p w14:paraId="13D8333E" w14:textId="77777777" w:rsidR="002C2531" w:rsidRPr="002C2531" w:rsidRDefault="002C2531" w:rsidP="00B32EE4">
      <w:pPr>
        <w:pStyle w:val="OrderBody"/>
        <w:keepNext/>
        <w:keepLines/>
        <w:rPr>
          <w:iCs/>
          <w:color w:val="212121"/>
        </w:rPr>
      </w:pPr>
    </w:p>
    <w:p w14:paraId="6D63CF52" w14:textId="77777777" w:rsidR="00B32EE4" w:rsidRDefault="00B32EE4" w:rsidP="00B32EE4">
      <w:pPr>
        <w:pStyle w:val="OrderBody"/>
        <w:keepNext/>
        <w:keepLines/>
        <w:rPr>
          <w:iCs/>
          <w:color w:val="212121"/>
        </w:rPr>
      </w:pPr>
    </w:p>
    <w:p w14:paraId="386EADC3" w14:textId="77777777" w:rsidR="00B32EE4" w:rsidRDefault="00B32EE4" w:rsidP="00B32EE4">
      <w:pPr>
        <w:pStyle w:val="OrderBody"/>
        <w:keepNext/>
        <w:keepLines/>
        <w:rPr>
          <w:iCs/>
          <w:color w:val="212121"/>
        </w:rPr>
      </w:pPr>
    </w:p>
    <w:p w14:paraId="4F7826DB" w14:textId="77777777" w:rsidR="00B32EE4" w:rsidRDefault="00B32EE4" w:rsidP="00B32EE4">
      <w:pPr>
        <w:pStyle w:val="OrderBody"/>
        <w:keepNext/>
        <w:keepLines/>
        <w:rPr>
          <w:iCs/>
          <w:color w:val="212121"/>
        </w:rPr>
      </w:pPr>
    </w:p>
    <w:tbl>
      <w:tblPr>
        <w:tblW w:w="4720" w:type="dxa"/>
        <w:tblInd w:w="3800" w:type="dxa"/>
        <w:tblLayout w:type="fixed"/>
        <w:tblLook w:val="0000" w:firstRow="0" w:lastRow="0" w:firstColumn="0" w:lastColumn="0" w:noHBand="0" w:noVBand="0"/>
      </w:tblPr>
      <w:tblGrid>
        <w:gridCol w:w="686"/>
        <w:gridCol w:w="4034"/>
      </w:tblGrid>
      <w:tr w:rsidR="00B32EE4" w14:paraId="181C28B0" w14:textId="77777777" w:rsidTr="00B32EE4">
        <w:tc>
          <w:tcPr>
            <w:tcW w:w="720" w:type="dxa"/>
            <w:shd w:val="clear" w:color="auto" w:fill="auto"/>
          </w:tcPr>
          <w:p w14:paraId="3B006044" w14:textId="77777777" w:rsidR="00B32EE4" w:rsidRDefault="00B32EE4" w:rsidP="00B32EE4">
            <w:pPr>
              <w:pStyle w:val="OrderBody"/>
              <w:keepNext/>
              <w:keepLines/>
            </w:pPr>
            <w:bookmarkStart w:id="7" w:name="bkmrkSignature" w:colFirst="0" w:colLast="0"/>
          </w:p>
        </w:tc>
        <w:tc>
          <w:tcPr>
            <w:tcW w:w="4320" w:type="dxa"/>
            <w:tcBorders>
              <w:bottom w:val="single" w:sz="4" w:space="0" w:color="auto"/>
            </w:tcBorders>
            <w:shd w:val="clear" w:color="auto" w:fill="auto"/>
          </w:tcPr>
          <w:p w14:paraId="1879EA3F" w14:textId="6DB3C0FA" w:rsidR="00B32EE4" w:rsidRDefault="008920FC" w:rsidP="00B32EE4">
            <w:pPr>
              <w:pStyle w:val="OrderBody"/>
              <w:keepNext/>
              <w:keepLines/>
            </w:pPr>
            <w:r>
              <w:t>/s/ Gary F. Clark</w:t>
            </w:r>
          </w:p>
        </w:tc>
      </w:tr>
      <w:bookmarkEnd w:id="7"/>
      <w:tr w:rsidR="00B32EE4" w14:paraId="2D9759B4" w14:textId="77777777" w:rsidTr="00B32EE4">
        <w:tc>
          <w:tcPr>
            <w:tcW w:w="720" w:type="dxa"/>
            <w:shd w:val="clear" w:color="auto" w:fill="auto"/>
          </w:tcPr>
          <w:p w14:paraId="0B51AB74" w14:textId="77777777" w:rsidR="00B32EE4" w:rsidRDefault="00B32EE4" w:rsidP="00B32EE4">
            <w:pPr>
              <w:pStyle w:val="OrderBody"/>
              <w:keepNext/>
              <w:keepLines/>
            </w:pPr>
          </w:p>
        </w:tc>
        <w:tc>
          <w:tcPr>
            <w:tcW w:w="4320" w:type="dxa"/>
            <w:tcBorders>
              <w:top w:val="single" w:sz="4" w:space="0" w:color="auto"/>
            </w:tcBorders>
            <w:shd w:val="clear" w:color="auto" w:fill="auto"/>
          </w:tcPr>
          <w:p w14:paraId="502FDF34" w14:textId="77777777" w:rsidR="00B32EE4" w:rsidRDefault="00B32EE4" w:rsidP="00B32EE4">
            <w:pPr>
              <w:pStyle w:val="OrderBody"/>
              <w:keepNext/>
              <w:keepLines/>
            </w:pPr>
            <w:r>
              <w:t>GARY F. CLARK</w:t>
            </w:r>
          </w:p>
          <w:p w14:paraId="572B2781" w14:textId="57929C1D" w:rsidR="00B32EE4" w:rsidRDefault="00B32EE4" w:rsidP="00B32EE4">
            <w:pPr>
              <w:pStyle w:val="OrderBody"/>
              <w:keepNext/>
              <w:keepLines/>
            </w:pPr>
            <w:r>
              <w:t>Commissioner and Prehearing Officer</w:t>
            </w:r>
          </w:p>
        </w:tc>
      </w:tr>
    </w:tbl>
    <w:p w14:paraId="541BA976" w14:textId="77777777" w:rsidR="00B32EE4" w:rsidRDefault="00B32EE4" w:rsidP="00B32EE4">
      <w:pPr>
        <w:pStyle w:val="OrderSigInfo"/>
        <w:keepNext/>
        <w:keepLines/>
      </w:pPr>
      <w:r>
        <w:t>Florida Public Service Commission</w:t>
      </w:r>
    </w:p>
    <w:p w14:paraId="0A3F66AE" w14:textId="77777777" w:rsidR="00B32EE4" w:rsidRDefault="00B32EE4" w:rsidP="00B32EE4">
      <w:pPr>
        <w:pStyle w:val="OrderSigInfo"/>
        <w:keepNext/>
        <w:keepLines/>
      </w:pPr>
      <w:r>
        <w:t>2540 Shumard Oak Boulevard</w:t>
      </w:r>
    </w:p>
    <w:p w14:paraId="2CFB5E04" w14:textId="77777777" w:rsidR="00B32EE4" w:rsidRDefault="00B32EE4" w:rsidP="00B32EE4">
      <w:pPr>
        <w:pStyle w:val="OrderSigInfo"/>
        <w:keepNext/>
        <w:keepLines/>
      </w:pPr>
      <w:r>
        <w:t>Tallahassee, Florida 32399</w:t>
      </w:r>
    </w:p>
    <w:p w14:paraId="75A485DB" w14:textId="77777777" w:rsidR="00B32EE4" w:rsidRDefault="00B32EE4" w:rsidP="00B32EE4">
      <w:pPr>
        <w:pStyle w:val="OrderSigInfo"/>
        <w:keepNext/>
        <w:keepLines/>
      </w:pPr>
      <w:r>
        <w:t>(850) 413</w:t>
      </w:r>
      <w:r>
        <w:noBreakHyphen/>
        <w:t>6770</w:t>
      </w:r>
    </w:p>
    <w:p w14:paraId="54E51F2C" w14:textId="77777777" w:rsidR="00B32EE4" w:rsidRDefault="00B32EE4" w:rsidP="00B32EE4">
      <w:pPr>
        <w:pStyle w:val="OrderSigInfo"/>
        <w:keepNext/>
        <w:keepLines/>
      </w:pPr>
      <w:r>
        <w:t>www.floridapsc.com</w:t>
      </w:r>
    </w:p>
    <w:p w14:paraId="46EFDB9F" w14:textId="77777777" w:rsidR="00B32EE4" w:rsidRDefault="00B32EE4" w:rsidP="00B32EE4">
      <w:pPr>
        <w:pStyle w:val="OrderSigInfo"/>
        <w:keepNext/>
        <w:keepLines/>
      </w:pPr>
    </w:p>
    <w:p w14:paraId="4708ED54" w14:textId="77777777" w:rsidR="00B32EE4" w:rsidRDefault="00B32EE4" w:rsidP="00B32EE4">
      <w:pPr>
        <w:pStyle w:val="OrderSigInfo"/>
        <w:keepNext/>
        <w:keepLines/>
      </w:pPr>
      <w:r>
        <w:t>Copies furnished:  A copy of this document is provided to the parties of record at the time of issuance and, if applicable, interested persons.</w:t>
      </w:r>
    </w:p>
    <w:p w14:paraId="64B230A5" w14:textId="17DE5253" w:rsidR="00B32EE4" w:rsidRDefault="00B32EE4" w:rsidP="00B32EE4">
      <w:pPr>
        <w:pStyle w:val="OrderBody"/>
        <w:keepNext/>
        <w:keepLines/>
      </w:pPr>
    </w:p>
    <w:p w14:paraId="7A09152B" w14:textId="77777777" w:rsidR="00B32EE4" w:rsidRDefault="00B32EE4" w:rsidP="00B32EE4">
      <w:pPr>
        <w:pStyle w:val="OrderBody"/>
        <w:keepNext/>
        <w:keepLines/>
      </w:pPr>
    </w:p>
    <w:p w14:paraId="040401A5" w14:textId="6486C82F" w:rsidR="00B32EE4" w:rsidRDefault="00890815" w:rsidP="00B32EE4">
      <w:pPr>
        <w:pStyle w:val="OrderBody"/>
        <w:keepNext/>
        <w:keepLines/>
      </w:pPr>
      <w:r>
        <w:t>MRT</w:t>
      </w:r>
      <w:r w:rsidR="002D48D7">
        <w:t>/SF</w:t>
      </w:r>
    </w:p>
    <w:p w14:paraId="61D65041" w14:textId="77777777" w:rsidR="00B32EE4" w:rsidRDefault="00B32EE4" w:rsidP="00B32EE4">
      <w:pPr>
        <w:pStyle w:val="OrderBody"/>
      </w:pPr>
    </w:p>
    <w:p w14:paraId="3DA39819" w14:textId="77777777" w:rsidR="00B32EE4" w:rsidRDefault="00B32EE4" w:rsidP="00B32EE4">
      <w:pPr>
        <w:pStyle w:val="CenterUnderline"/>
      </w:pPr>
      <w:r>
        <w:t>NOTICE OF FURTHER PROCEEDINGS OR JUDICIAL REVIEW</w:t>
      </w:r>
    </w:p>
    <w:p w14:paraId="0B928AF5" w14:textId="62BE67DE" w:rsidR="00B32EE4" w:rsidRDefault="00B32EE4" w:rsidP="00B32EE4">
      <w:pPr>
        <w:pStyle w:val="CenterUnderline"/>
      </w:pPr>
    </w:p>
    <w:p w14:paraId="5C97E06D" w14:textId="77777777" w:rsidR="00B32EE4" w:rsidRDefault="00B32EE4" w:rsidP="00B32EE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1CE59A1" w14:textId="77777777" w:rsidR="00B32EE4" w:rsidRDefault="00B32EE4" w:rsidP="00B32EE4">
      <w:pPr>
        <w:pStyle w:val="OrderBody"/>
      </w:pPr>
    </w:p>
    <w:p w14:paraId="5E79D9E5" w14:textId="77777777" w:rsidR="00B32EE4" w:rsidRDefault="00B32EE4" w:rsidP="00B32EE4">
      <w:pPr>
        <w:pStyle w:val="OrderBody"/>
      </w:pPr>
      <w:r>
        <w:tab/>
        <w:t>Mediation may be available on a case-by-case basis.  If mediation is conducted, it does not affect a substantially interested person's right to a hearing.</w:t>
      </w:r>
    </w:p>
    <w:p w14:paraId="04F48A46" w14:textId="77777777" w:rsidR="00B32EE4" w:rsidRDefault="00B32EE4" w:rsidP="00B32EE4">
      <w:pPr>
        <w:pStyle w:val="OrderBody"/>
      </w:pPr>
    </w:p>
    <w:p w14:paraId="13F1823C" w14:textId="77777777" w:rsidR="00B32EE4" w:rsidRDefault="00B32EE4" w:rsidP="00B32EE4">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4B34EA0D" w14:textId="77777777" w:rsidR="00B32EE4" w:rsidRDefault="00B32EE4" w:rsidP="00B32EE4">
      <w:pPr>
        <w:pStyle w:val="OrderBody"/>
      </w:pPr>
    </w:p>
    <w:sectPr w:rsidR="00B32EE4">
      <w:head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DA86" w14:textId="77777777" w:rsidR="00B32EE4" w:rsidRDefault="00B32EE4">
      <w:r>
        <w:separator/>
      </w:r>
    </w:p>
  </w:endnote>
  <w:endnote w:type="continuationSeparator" w:id="0">
    <w:p w14:paraId="5729BE70" w14:textId="77777777" w:rsidR="00B32EE4" w:rsidRDefault="00B3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17D47" w14:textId="77777777" w:rsidR="00B32EE4" w:rsidRDefault="00B32EE4">
      <w:r>
        <w:separator/>
      </w:r>
    </w:p>
  </w:footnote>
  <w:footnote w:type="continuationSeparator" w:id="0">
    <w:p w14:paraId="25DEC2A6" w14:textId="77777777" w:rsidR="00B32EE4" w:rsidRDefault="00B32EE4">
      <w:r>
        <w:continuationSeparator/>
      </w:r>
    </w:p>
  </w:footnote>
  <w:footnote w:id="1">
    <w:p w14:paraId="6CD0015F" w14:textId="1B4B3975" w:rsidR="00DF3171" w:rsidRDefault="00DF3171">
      <w:pPr>
        <w:pStyle w:val="FootnoteText"/>
      </w:pPr>
      <w:r>
        <w:rPr>
          <w:rStyle w:val="FootnoteReference"/>
        </w:rPr>
        <w:footnoteRef/>
      </w:r>
      <w:r>
        <w:t xml:space="preserve"> Issue D states: “Whether the following persons have standing to intervene in this proceeding: a. PCS Phosphate — White Springs; b. Florida Industrial Power Users Group; c. Florida Rising, Inc.; d. Nucor Steel Florida, Inc.”</w:t>
      </w:r>
    </w:p>
  </w:footnote>
  <w:footnote w:id="2">
    <w:p w14:paraId="32F4FCD6" w14:textId="5E7B9C19" w:rsidR="00D33F4C" w:rsidRDefault="00D33F4C" w:rsidP="00D33F4C">
      <w:pPr>
        <w:pStyle w:val="FootnoteText"/>
      </w:pPr>
      <w:r>
        <w:rPr>
          <w:rStyle w:val="FootnoteReference"/>
        </w:rPr>
        <w:footnoteRef/>
      </w:r>
      <w:r>
        <w:t xml:space="preserve"> A Type 2 stipulation occurs when the utility and our staff, or the utility and at least one party adversarial to the utility, agree on the resolution of the issue and the remaining parties (including our staff if they do not join in the agreement) do not object to us relying on the agreed language to resolve that issue in a final order.</w:t>
      </w:r>
    </w:p>
  </w:footnote>
  <w:footnote w:id="3">
    <w:p w14:paraId="644DF9C4" w14:textId="391A0F36" w:rsidR="000D3F1E" w:rsidRDefault="000D3F1E" w:rsidP="00BF4395">
      <w:pPr>
        <w:pStyle w:val="FootnoteText"/>
      </w:pPr>
      <w:r>
        <w:rPr>
          <w:rStyle w:val="FootnoteReference"/>
        </w:rPr>
        <w:footnoteRef/>
      </w:r>
      <w:r>
        <w:t xml:space="preserve"> </w:t>
      </w:r>
      <w:r w:rsidRPr="000D3F1E">
        <w:rPr>
          <w:i/>
          <w:iCs/>
        </w:rPr>
        <w:t>See, e.g.</w:t>
      </w:r>
      <w:r w:rsidRPr="000D3F1E">
        <w:t>, Agrico Chemical Co. v. Department of Environmental Regulation, 406 So.2d 478, 482 (Fla. 2d DCA</w:t>
      </w:r>
      <w:r w:rsidR="00BF4395">
        <w:t xml:space="preserve"> </w:t>
      </w:r>
      <w:r w:rsidRPr="000D3F1E">
        <w:t>1981).</w:t>
      </w:r>
    </w:p>
  </w:footnote>
  <w:footnote w:id="4">
    <w:p w14:paraId="6989D7A5" w14:textId="4E683FC2" w:rsidR="000D3F1E" w:rsidRDefault="000D3F1E" w:rsidP="000D3F1E">
      <w:pPr>
        <w:pStyle w:val="FootnoteText"/>
      </w:pPr>
      <w:r>
        <w:rPr>
          <w:rStyle w:val="FootnoteReference"/>
        </w:rPr>
        <w:footnoteRef/>
      </w:r>
      <w:r>
        <w:t xml:space="preserve"> </w:t>
      </w:r>
      <w:r w:rsidRPr="000D3F1E">
        <w:rPr>
          <w:i/>
          <w:iCs/>
        </w:rPr>
        <w:t>See, e.g.</w:t>
      </w:r>
      <w:r w:rsidRPr="000D3F1E">
        <w:t>, Rule 28-106.206, Florida Administrative Code (“F.A.C.”) (Discovery); Rule 28-106.213, F.A.C.</w:t>
      </w:r>
      <w:r w:rsidR="00BF4395">
        <w:t xml:space="preserve"> </w:t>
      </w:r>
      <w:r w:rsidRPr="000D3F1E">
        <w:t>(Evidence); Rule 28-106.215, F.A.C. (Post-Hearing Submittals).</w:t>
      </w:r>
    </w:p>
  </w:footnote>
  <w:footnote w:id="5">
    <w:p w14:paraId="1F9C3476" w14:textId="210E1C0E" w:rsidR="004F3184" w:rsidRPr="004F3184" w:rsidRDefault="004F3184">
      <w:pPr>
        <w:pStyle w:val="FootnoteText"/>
      </w:pPr>
      <w:r>
        <w:rPr>
          <w:rStyle w:val="FootnoteReference"/>
        </w:rPr>
        <w:footnoteRef/>
      </w:r>
      <w:r>
        <w:t xml:space="preserve"> </w:t>
      </w:r>
      <w:r>
        <w:rPr>
          <w:i/>
          <w:iCs/>
        </w:rPr>
        <w:t xml:space="preserve">See </w:t>
      </w:r>
      <w:r>
        <w:t>Order No. PSC-2026-0022-S-EI (finding that the only intervenor to the 2025 FPL Rate Case who did not have standing was the Southern Alliance for Clean Energy, for failure to offer any prefiled testimony or factual stipulations in support of its allegations).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A4CE" w14:textId="23AA048A" w:rsidR="00FA6EFD" w:rsidRDefault="00FA6EFD">
    <w:pPr>
      <w:pStyle w:val="OrderHeader"/>
    </w:pPr>
    <w:r>
      <w:t xml:space="preserve">ORDER NO. </w:t>
    </w:r>
    <w:r w:rsidR="002C2531">
      <w:fldChar w:fldCharType="begin"/>
    </w:r>
    <w:r w:rsidR="002C2531">
      <w:instrText xml:space="preserve"> REF OrderNo0288 </w:instrText>
    </w:r>
    <w:r w:rsidR="002C2531">
      <w:fldChar w:fldCharType="separate"/>
    </w:r>
    <w:r w:rsidR="008920FC">
      <w:t>PSC-2026-0288-PCO-EI</w:t>
    </w:r>
    <w:r w:rsidR="002C2531">
      <w:fldChar w:fldCharType="end"/>
    </w:r>
  </w:p>
  <w:p w14:paraId="4CE56A7F" w14:textId="4AE8325D" w:rsidR="00FA6EFD" w:rsidRDefault="00B32EE4">
    <w:pPr>
      <w:pStyle w:val="OrderHeader"/>
    </w:pPr>
    <w:bookmarkStart w:id="8" w:name="HeaderDocketNo"/>
    <w:bookmarkEnd w:id="8"/>
    <w:r>
      <w:t>DOCKET NO. 20260064-EI</w:t>
    </w:r>
  </w:p>
  <w:p w14:paraId="1833670D"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7051A32"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45941"/>
    <w:multiLevelType w:val="hybridMultilevel"/>
    <w:tmpl w:val="C54EE47A"/>
    <w:lvl w:ilvl="0" w:tplc="86DC25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BC46A5D"/>
    <w:multiLevelType w:val="hybridMultilevel"/>
    <w:tmpl w:val="0CF67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997955">
    <w:abstractNumId w:val="1"/>
  </w:num>
  <w:num w:numId="2" w16cid:durableId="150990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4-EI"/>
  </w:docVars>
  <w:rsids>
    <w:rsidRoot w:val="00B32EE4"/>
    <w:rsid w:val="000003EA"/>
    <w:rsid w:val="000022B8"/>
    <w:rsid w:val="00003883"/>
    <w:rsid w:val="000048E2"/>
    <w:rsid w:val="00011251"/>
    <w:rsid w:val="00012B32"/>
    <w:rsid w:val="00022992"/>
    <w:rsid w:val="00025C2A"/>
    <w:rsid w:val="00025C9D"/>
    <w:rsid w:val="0003433F"/>
    <w:rsid w:val="00035A8C"/>
    <w:rsid w:val="000366A9"/>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3411"/>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3F1E"/>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0D5C"/>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6F6C"/>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6D02"/>
    <w:rsid w:val="00292F02"/>
    <w:rsid w:val="00293DC9"/>
    <w:rsid w:val="00294DAA"/>
    <w:rsid w:val="0029526B"/>
    <w:rsid w:val="00296AA7"/>
    <w:rsid w:val="00297C37"/>
    <w:rsid w:val="002A11AC"/>
    <w:rsid w:val="002A1B95"/>
    <w:rsid w:val="002A6F30"/>
    <w:rsid w:val="002A7884"/>
    <w:rsid w:val="002B3111"/>
    <w:rsid w:val="002C09F5"/>
    <w:rsid w:val="002C118E"/>
    <w:rsid w:val="002C2096"/>
    <w:rsid w:val="002C2531"/>
    <w:rsid w:val="002C3C71"/>
    <w:rsid w:val="002C7908"/>
    <w:rsid w:val="002D0328"/>
    <w:rsid w:val="002D391B"/>
    <w:rsid w:val="002D3BFB"/>
    <w:rsid w:val="002D48D7"/>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2C8"/>
    <w:rsid w:val="00303FDE"/>
    <w:rsid w:val="003109B2"/>
    <w:rsid w:val="00313C5B"/>
    <w:rsid w:val="003140E8"/>
    <w:rsid w:val="003144B7"/>
    <w:rsid w:val="00321702"/>
    <w:rsid w:val="003231C7"/>
    <w:rsid w:val="00323839"/>
    <w:rsid w:val="003270C4"/>
    <w:rsid w:val="00331ED0"/>
    <w:rsid w:val="00332B0A"/>
    <w:rsid w:val="00333A41"/>
    <w:rsid w:val="003359DC"/>
    <w:rsid w:val="00335F79"/>
    <w:rsid w:val="00341036"/>
    <w:rsid w:val="003430A1"/>
    <w:rsid w:val="00345434"/>
    <w:rsid w:val="00351C22"/>
    <w:rsid w:val="0035495B"/>
    <w:rsid w:val="00355A93"/>
    <w:rsid w:val="00360F30"/>
    <w:rsid w:val="00361522"/>
    <w:rsid w:val="0036362B"/>
    <w:rsid w:val="00365014"/>
    <w:rsid w:val="0037196E"/>
    <w:rsid w:val="0037442E"/>
    <w:rsid w:val="003744F5"/>
    <w:rsid w:val="00382C6A"/>
    <w:rsid w:val="00385D0B"/>
    <w:rsid w:val="003875A9"/>
    <w:rsid w:val="00387BDE"/>
    <w:rsid w:val="00390DD8"/>
    <w:rsid w:val="00394DC6"/>
    <w:rsid w:val="00397C3E"/>
    <w:rsid w:val="003A1A26"/>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3573"/>
    <w:rsid w:val="0040379A"/>
    <w:rsid w:val="00405881"/>
    <w:rsid w:val="00411DF2"/>
    <w:rsid w:val="00411E8F"/>
    <w:rsid w:val="0041412B"/>
    <w:rsid w:val="004173BA"/>
    <w:rsid w:val="004247F5"/>
    <w:rsid w:val="00425154"/>
    <w:rsid w:val="0042527B"/>
    <w:rsid w:val="0042705B"/>
    <w:rsid w:val="00427EAC"/>
    <w:rsid w:val="00433E00"/>
    <w:rsid w:val="00437FAE"/>
    <w:rsid w:val="004431B4"/>
    <w:rsid w:val="00445604"/>
    <w:rsid w:val="00447BDA"/>
    <w:rsid w:val="00447D8D"/>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148C"/>
    <w:rsid w:val="004E469D"/>
    <w:rsid w:val="004E7F4F"/>
    <w:rsid w:val="004F03B2"/>
    <w:rsid w:val="004F094F"/>
    <w:rsid w:val="004F0AF7"/>
    <w:rsid w:val="004F2DDE"/>
    <w:rsid w:val="004F3184"/>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2C69"/>
    <w:rsid w:val="00533EF6"/>
    <w:rsid w:val="00540B41"/>
    <w:rsid w:val="00540E6B"/>
    <w:rsid w:val="0054109E"/>
    <w:rsid w:val="00542DCB"/>
    <w:rsid w:val="00543CC0"/>
    <w:rsid w:val="005467DA"/>
    <w:rsid w:val="00554DCC"/>
    <w:rsid w:val="0055595D"/>
    <w:rsid w:val="00556A10"/>
    <w:rsid w:val="00556ABD"/>
    <w:rsid w:val="00557F50"/>
    <w:rsid w:val="0056260A"/>
    <w:rsid w:val="00563F6F"/>
    <w:rsid w:val="005645FC"/>
    <w:rsid w:val="00564BBE"/>
    <w:rsid w:val="00571D3D"/>
    <w:rsid w:val="00573194"/>
    <w:rsid w:val="00574379"/>
    <w:rsid w:val="0058264B"/>
    <w:rsid w:val="00583F81"/>
    <w:rsid w:val="005850DF"/>
    <w:rsid w:val="00586368"/>
    <w:rsid w:val="005868AA"/>
    <w:rsid w:val="00590845"/>
    <w:rsid w:val="005944A0"/>
    <w:rsid w:val="00594726"/>
    <w:rsid w:val="00594EB9"/>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99B"/>
    <w:rsid w:val="00645AF6"/>
    <w:rsid w:val="00647025"/>
    <w:rsid w:val="0064730A"/>
    <w:rsid w:val="006507DA"/>
    <w:rsid w:val="006531A4"/>
    <w:rsid w:val="00660774"/>
    <w:rsid w:val="0066389A"/>
    <w:rsid w:val="0066495C"/>
    <w:rsid w:val="00665CC7"/>
    <w:rsid w:val="00672612"/>
    <w:rsid w:val="006734AD"/>
    <w:rsid w:val="00674ECC"/>
    <w:rsid w:val="00677F18"/>
    <w:rsid w:val="00684AE3"/>
    <w:rsid w:val="00692E1A"/>
    <w:rsid w:val="00693483"/>
    <w:rsid w:val="00695682"/>
    <w:rsid w:val="00696892"/>
    <w:rsid w:val="006A0A0A"/>
    <w:rsid w:val="006A0BF3"/>
    <w:rsid w:val="006A502B"/>
    <w:rsid w:val="006A5032"/>
    <w:rsid w:val="006B0036"/>
    <w:rsid w:val="006B0DA6"/>
    <w:rsid w:val="006B21D0"/>
    <w:rsid w:val="006B3FA9"/>
    <w:rsid w:val="006C3055"/>
    <w:rsid w:val="006C547E"/>
    <w:rsid w:val="006C58FA"/>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2831"/>
    <w:rsid w:val="007232A2"/>
    <w:rsid w:val="00726366"/>
    <w:rsid w:val="00731AB6"/>
    <w:rsid w:val="00733B6B"/>
    <w:rsid w:val="00740808"/>
    <w:rsid w:val="00740A1B"/>
    <w:rsid w:val="00742478"/>
    <w:rsid w:val="007467C4"/>
    <w:rsid w:val="00755702"/>
    <w:rsid w:val="00755EF7"/>
    <w:rsid w:val="007560DE"/>
    <w:rsid w:val="0076170F"/>
    <w:rsid w:val="00764CA4"/>
    <w:rsid w:val="0076669C"/>
    <w:rsid w:val="00766E46"/>
    <w:rsid w:val="0076729C"/>
    <w:rsid w:val="00771018"/>
    <w:rsid w:val="00772CCB"/>
    <w:rsid w:val="00777193"/>
    <w:rsid w:val="00777727"/>
    <w:rsid w:val="00777FFA"/>
    <w:rsid w:val="00781087"/>
    <w:rsid w:val="0078166A"/>
    <w:rsid w:val="00782B79"/>
    <w:rsid w:val="00783811"/>
    <w:rsid w:val="007865E9"/>
    <w:rsid w:val="00786C10"/>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C81"/>
    <w:rsid w:val="007C7ECF"/>
    <w:rsid w:val="007D1448"/>
    <w:rsid w:val="007D3D20"/>
    <w:rsid w:val="007D44F9"/>
    <w:rsid w:val="007D571F"/>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207A"/>
    <w:rsid w:val="00883D9A"/>
    <w:rsid w:val="00886A62"/>
    <w:rsid w:val="00890578"/>
    <w:rsid w:val="00890815"/>
    <w:rsid w:val="008919EF"/>
    <w:rsid w:val="008920FC"/>
    <w:rsid w:val="00892B20"/>
    <w:rsid w:val="008931BC"/>
    <w:rsid w:val="008956F0"/>
    <w:rsid w:val="0089695B"/>
    <w:rsid w:val="00897740"/>
    <w:rsid w:val="008A12EC"/>
    <w:rsid w:val="008A1DF5"/>
    <w:rsid w:val="008B14BE"/>
    <w:rsid w:val="008B19A6"/>
    <w:rsid w:val="008B4EFB"/>
    <w:rsid w:val="008B7615"/>
    <w:rsid w:val="008B78ED"/>
    <w:rsid w:val="008C21C8"/>
    <w:rsid w:val="008C436C"/>
    <w:rsid w:val="008C6375"/>
    <w:rsid w:val="008C6A5B"/>
    <w:rsid w:val="008D441D"/>
    <w:rsid w:val="008D498D"/>
    <w:rsid w:val="008D6D36"/>
    <w:rsid w:val="008D791F"/>
    <w:rsid w:val="008E0582"/>
    <w:rsid w:val="008E0693"/>
    <w:rsid w:val="008E26A5"/>
    <w:rsid w:val="008E42D2"/>
    <w:rsid w:val="008E6328"/>
    <w:rsid w:val="008E6A32"/>
    <w:rsid w:val="008F578F"/>
    <w:rsid w:val="008F5D04"/>
    <w:rsid w:val="008F6B3F"/>
    <w:rsid w:val="009015F0"/>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1CA1"/>
    <w:rsid w:val="00964A38"/>
    <w:rsid w:val="00966A9D"/>
    <w:rsid w:val="0096742B"/>
    <w:rsid w:val="00967C64"/>
    <w:rsid w:val="009718C5"/>
    <w:rsid w:val="00976AFF"/>
    <w:rsid w:val="009823BE"/>
    <w:rsid w:val="009839C1"/>
    <w:rsid w:val="00986AED"/>
    <w:rsid w:val="00991E90"/>
    <w:rsid w:val="009924CF"/>
    <w:rsid w:val="00993130"/>
    <w:rsid w:val="00994100"/>
    <w:rsid w:val="009A04B7"/>
    <w:rsid w:val="009A0E15"/>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1BB3"/>
    <w:rsid w:val="00A52B5D"/>
    <w:rsid w:val="00A571FA"/>
    <w:rsid w:val="00A6027B"/>
    <w:rsid w:val="00A62DAB"/>
    <w:rsid w:val="00A63D57"/>
    <w:rsid w:val="00A6757A"/>
    <w:rsid w:val="00A726A6"/>
    <w:rsid w:val="00A74842"/>
    <w:rsid w:val="00A81440"/>
    <w:rsid w:val="00A818AD"/>
    <w:rsid w:val="00A8269A"/>
    <w:rsid w:val="00A86A50"/>
    <w:rsid w:val="00A901A9"/>
    <w:rsid w:val="00A9178A"/>
    <w:rsid w:val="00A921F9"/>
    <w:rsid w:val="00A92DEC"/>
    <w:rsid w:val="00A9515B"/>
    <w:rsid w:val="00A97535"/>
    <w:rsid w:val="00AA2BAA"/>
    <w:rsid w:val="00AA5FAE"/>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D7ECD"/>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2EE4"/>
    <w:rsid w:val="00B3644F"/>
    <w:rsid w:val="00B36C55"/>
    <w:rsid w:val="00B4057A"/>
    <w:rsid w:val="00B40894"/>
    <w:rsid w:val="00B41039"/>
    <w:rsid w:val="00B41F37"/>
    <w:rsid w:val="00B42987"/>
    <w:rsid w:val="00B444AE"/>
    <w:rsid w:val="00B45E75"/>
    <w:rsid w:val="00B50876"/>
    <w:rsid w:val="00B51074"/>
    <w:rsid w:val="00B527F7"/>
    <w:rsid w:val="00B52E68"/>
    <w:rsid w:val="00B54DAA"/>
    <w:rsid w:val="00B552E0"/>
    <w:rsid w:val="00B558EA"/>
    <w:rsid w:val="00B55AB0"/>
    <w:rsid w:val="00B55EE5"/>
    <w:rsid w:val="00B61D42"/>
    <w:rsid w:val="00B677F9"/>
    <w:rsid w:val="00B67A43"/>
    <w:rsid w:val="00B67F9F"/>
    <w:rsid w:val="00B71D1F"/>
    <w:rsid w:val="00B72B25"/>
    <w:rsid w:val="00B72CFF"/>
    <w:rsid w:val="00B73DE6"/>
    <w:rsid w:val="00B73E0F"/>
    <w:rsid w:val="00B761CD"/>
    <w:rsid w:val="00B76B66"/>
    <w:rsid w:val="00B84241"/>
    <w:rsid w:val="00B86EF0"/>
    <w:rsid w:val="00B93896"/>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0512"/>
    <w:rsid w:val="00BF2928"/>
    <w:rsid w:val="00BF4395"/>
    <w:rsid w:val="00BF5D60"/>
    <w:rsid w:val="00BF6691"/>
    <w:rsid w:val="00C028FC"/>
    <w:rsid w:val="00C037F2"/>
    <w:rsid w:val="00C0386D"/>
    <w:rsid w:val="00C065A1"/>
    <w:rsid w:val="00C06FB1"/>
    <w:rsid w:val="00C10ED5"/>
    <w:rsid w:val="00C12574"/>
    <w:rsid w:val="00C12CB3"/>
    <w:rsid w:val="00C151A6"/>
    <w:rsid w:val="00C200AE"/>
    <w:rsid w:val="00C24098"/>
    <w:rsid w:val="00C2571F"/>
    <w:rsid w:val="00C30A4E"/>
    <w:rsid w:val="00C3483B"/>
    <w:rsid w:val="00C3641C"/>
    <w:rsid w:val="00C374FB"/>
    <w:rsid w:val="00C40B3D"/>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5FB3"/>
    <w:rsid w:val="00CD7132"/>
    <w:rsid w:val="00CE0E6F"/>
    <w:rsid w:val="00CE36BA"/>
    <w:rsid w:val="00CE3B21"/>
    <w:rsid w:val="00CE56FC"/>
    <w:rsid w:val="00CE7A4D"/>
    <w:rsid w:val="00CF2BCF"/>
    <w:rsid w:val="00CF32D2"/>
    <w:rsid w:val="00CF4CFE"/>
    <w:rsid w:val="00CF55E6"/>
    <w:rsid w:val="00D00E8E"/>
    <w:rsid w:val="00D02150"/>
    <w:rsid w:val="00D02E0F"/>
    <w:rsid w:val="00D02F79"/>
    <w:rsid w:val="00D03EE8"/>
    <w:rsid w:val="00D10250"/>
    <w:rsid w:val="00D1073A"/>
    <w:rsid w:val="00D1212D"/>
    <w:rsid w:val="00D13535"/>
    <w:rsid w:val="00D1476E"/>
    <w:rsid w:val="00D15497"/>
    <w:rsid w:val="00D17B79"/>
    <w:rsid w:val="00D205F5"/>
    <w:rsid w:val="00D212B9"/>
    <w:rsid w:val="00D23FEA"/>
    <w:rsid w:val="00D2415B"/>
    <w:rsid w:val="00D269CA"/>
    <w:rsid w:val="00D30B48"/>
    <w:rsid w:val="00D3168A"/>
    <w:rsid w:val="00D3213F"/>
    <w:rsid w:val="00D33F4C"/>
    <w:rsid w:val="00D350D1"/>
    <w:rsid w:val="00D4214E"/>
    <w:rsid w:val="00D46FAA"/>
    <w:rsid w:val="00D47A40"/>
    <w:rsid w:val="00D51D33"/>
    <w:rsid w:val="00D57132"/>
    <w:rsid w:val="00D57BB2"/>
    <w:rsid w:val="00D57E57"/>
    <w:rsid w:val="00D611DF"/>
    <w:rsid w:val="00D65405"/>
    <w:rsid w:val="00D70752"/>
    <w:rsid w:val="00D80E2D"/>
    <w:rsid w:val="00D824A6"/>
    <w:rsid w:val="00D84078"/>
    <w:rsid w:val="00D84D5E"/>
    <w:rsid w:val="00D8560E"/>
    <w:rsid w:val="00D8758F"/>
    <w:rsid w:val="00D92A86"/>
    <w:rsid w:val="00DA0332"/>
    <w:rsid w:val="00DA4EDD"/>
    <w:rsid w:val="00DA6B78"/>
    <w:rsid w:val="00DB0402"/>
    <w:rsid w:val="00DB0671"/>
    <w:rsid w:val="00DB122B"/>
    <w:rsid w:val="00DC1D94"/>
    <w:rsid w:val="00DC2BA2"/>
    <w:rsid w:val="00DC42CF"/>
    <w:rsid w:val="00DC4D2A"/>
    <w:rsid w:val="00DC4E09"/>
    <w:rsid w:val="00DC58D2"/>
    <w:rsid w:val="00DC6191"/>
    <w:rsid w:val="00DC738A"/>
    <w:rsid w:val="00DC77A2"/>
    <w:rsid w:val="00DD382A"/>
    <w:rsid w:val="00DD450E"/>
    <w:rsid w:val="00DD592E"/>
    <w:rsid w:val="00DE057F"/>
    <w:rsid w:val="00DE2082"/>
    <w:rsid w:val="00DE2289"/>
    <w:rsid w:val="00DE499C"/>
    <w:rsid w:val="00DE69DB"/>
    <w:rsid w:val="00DF09A7"/>
    <w:rsid w:val="00DF0DE8"/>
    <w:rsid w:val="00DF2B51"/>
    <w:rsid w:val="00DF3171"/>
    <w:rsid w:val="00E001D6"/>
    <w:rsid w:val="00E00897"/>
    <w:rsid w:val="00E03A76"/>
    <w:rsid w:val="00E04410"/>
    <w:rsid w:val="00E07484"/>
    <w:rsid w:val="00E11351"/>
    <w:rsid w:val="00E114ED"/>
    <w:rsid w:val="00E11DA4"/>
    <w:rsid w:val="00E17915"/>
    <w:rsid w:val="00E33EE9"/>
    <w:rsid w:val="00E33F44"/>
    <w:rsid w:val="00E37D48"/>
    <w:rsid w:val="00E4225C"/>
    <w:rsid w:val="00E44879"/>
    <w:rsid w:val="00E53451"/>
    <w:rsid w:val="00E61530"/>
    <w:rsid w:val="00E6305C"/>
    <w:rsid w:val="00E72914"/>
    <w:rsid w:val="00E75AE0"/>
    <w:rsid w:val="00E76B61"/>
    <w:rsid w:val="00E83C1F"/>
    <w:rsid w:val="00E85684"/>
    <w:rsid w:val="00E86008"/>
    <w:rsid w:val="00E868F8"/>
    <w:rsid w:val="00E8794B"/>
    <w:rsid w:val="00E969A7"/>
    <w:rsid w:val="00E97656"/>
    <w:rsid w:val="00EA004A"/>
    <w:rsid w:val="00EA172C"/>
    <w:rsid w:val="00EA259B"/>
    <w:rsid w:val="00EA35A3"/>
    <w:rsid w:val="00EA3E6A"/>
    <w:rsid w:val="00EA462B"/>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415E"/>
    <w:rsid w:val="00F05F34"/>
    <w:rsid w:val="00F17085"/>
    <w:rsid w:val="00F22B27"/>
    <w:rsid w:val="00F22D13"/>
    <w:rsid w:val="00F234A7"/>
    <w:rsid w:val="00F2718D"/>
    <w:rsid w:val="00F277B6"/>
    <w:rsid w:val="00F27DA5"/>
    <w:rsid w:val="00F3433D"/>
    <w:rsid w:val="00F37E07"/>
    <w:rsid w:val="00F4182A"/>
    <w:rsid w:val="00F449C6"/>
    <w:rsid w:val="00F464ED"/>
    <w:rsid w:val="00F47902"/>
    <w:rsid w:val="00F54380"/>
    <w:rsid w:val="00F54B47"/>
    <w:rsid w:val="00F5538C"/>
    <w:rsid w:val="00F569C5"/>
    <w:rsid w:val="00F61247"/>
    <w:rsid w:val="00F61F61"/>
    <w:rsid w:val="00F63191"/>
    <w:rsid w:val="00F6702E"/>
    <w:rsid w:val="00F67DB7"/>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82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B32EE4"/>
    <w:pPr>
      <w:ind w:left="720"/>
      <w:contextualSpacing/>
    </w:pPr>
    <w:rPr>
      <w:rFonts w:ascii="Calibri" w:eastAsia="Calibri" w:hAnsi="Calibri"/>
    </w:rPr>
  </w:style>
  <w:style w:type="paragraph" w:styleId="Revision">
    <w:name w:val="Revision"/>
    <w:hidden/>
    <w:uiPriority w:val="99"/>
    <w:semiHidden/>
    <w:rsid w:val="00BF0512"/>
    <w:rPr>
      <w:sz w:val="24"/>
      <w:szCs w:val="24"/>
    </w:rPr>
  </w:style>
  <w:style w:type="character" w:styleId="CommentReference">
    <w:name w:val="annotation reference"/>
    <w:basedOn w:val="DefaultParagraphFont"/>
    <w:semiHidden/>
    <w:unhideWhenUsed/>
    <w:rsid w:val="00216F6C"/>
    <w:rPr>
      <w:sz w:val="16"/>
      <w:szCs w:val="16"/>
    </w:rPr>
  </w:style>
  <w:style w:type="paragraph" w:styleId="CommentText">
    <w:name w:val="annotation text"/>
    <w:basedOn w:val="Normal"/>
    <w:link w:val="CommentTextChar"/>
    <w:unhideWhenUsed/>
    <w:rsid w:val="00216F6C"/>
    <w:rPr>
      <w:sz w:val="20"/>
      <w:szCs w:val="20"/>
    </w:rPr>
  </w:style>
  <w:style w:type="character" w:customStyle="1" w:styleId="CommentTextChar">
    <w:name w:val="Comment Text Char"/>
    <w:basedOn w:val="DefaultParagraphFont"/>
    <w:link w:val="CommentText"/>
    <w:rsid w:val="00216F6C"/>
  </w:style>
  <w:style w:type="paragraph" w:styleId="CommentSubject">
    <w:name w:val="annotation subject"/>
    <w:basedOn w:val="CommentText"/>
    <w:next w:val="CommentText"/>
    <w:link w:val="CommentSubjectChar"/>
    <w:semiHidden/>
    <w:unhideWhenUsed/>
    <w:rsid w:val="00216F6C"/>
    <w:rPr>
      <w:b/>
      <w:bCs/>
    </w:rPr>
  </w:style>
  <w:style w:type="character" w:customStyle="1" w:styleId="CommentSubjectChar">
    <w:name w:val="Comment Subject Char"/>
    <w:basedOn w:val="CommentTextChar"/>
    <w:link w:val="CommentSubject"/>
    <w:semiHidden/>
    <w:rsid w:val="00216F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25DB0-0299-4A58-84AC-68F993AEF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7</Pages>
  <Words>2471</Words>
  <Characters>14087</Characters>
  <Application>Microsoft Office Word</Application>
  <DocSecurity>0</DocSecurity>
  <Lines>117</Lines>
  <Paragraphs>33</Paragraphs>
  <ScaleCrop>false</ScaleCrop>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2026-08-24T13:09:00Z</dcterms:created>
  <dcterms:modified xsi:type="dcterms:W3CDTF">2026-08-24T13:15:00Z</dcterms:modified>
</cp:coreProperties>
</file>