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4ACB73" w14:textId="77777777" w:rsidR="005312A5" w:rsidRPr="001D628A" w:rsidRDefault="005312A5" w:rsidP="005312A5">
      <w:pPr>
        <w:pStyle w:val="OrderHeading"/>
      </w:pPr>
      <w:r w:rsidRPr="001D628A">
        <w:t>BEFORE THE FLORIDA PUBLIC SERVICE COMMISSION</w:t>
      </w:r>
    </w:p>
    <w:p w14:paraId="396BD92B" w14:textId="77777777" w:rsidR="005312A5" w:rsidRPr="001D628A" w:rsidRDefault="005312A5" w:rsidP="005312A5">
      <w:pPr>
        <w:pStyle w:val="OrderBody"/>
      </w:pPr>
    </w:p>
    <w:p w14:paraId="6B335461" w14:textId="77777777" w:rsidR="005312A5" w:rsidRPr="001D628A" w:rsidRDefault="005312A5" w:rsidP="005312A5">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5312A5" w:rsidRPr="001D628A" w14:paraId="6D0DF27D" w14:textId="77777777" w:rsidTr="00C63FCF">
        <w:trPr>
          <w:trHeight w:val="828"/>
        </w:trPr>
        <w:tc>
          <w:tcPr>
            <w:tcW w:w="4788" w:type="dxa"/>
            <w:tcBorders>
              <w:bottom w:val="single" w:sz="8" w:space="0" w:color="auto"/>
              <w:right w:val="double" w:sz="6" w:space="0" w:color="auto"/>
            </w:tcBorders>
            <w:shd w:val="clear" w:color="auto" w:fill="auto"/>
          </w:tcPr>
          <w:p w14:paraId="2B39093F" w14:textId="4A005C68" w:rsidR="005312A5" w:rsidRPr="001D628A" w:rsidRDefault="005312A5" w:rsidP="00C63FCF">
            <w:pPr>
              <w:pStyle w:val="OrderBody"/>
              <w:tabs>
                <w:tab w:val="center" w:pos="4320"/>
                <w:tab w:val="right" w:pos="8640"/>
              </w:tabs>
              <w:jc w:val="left"/>
            </w:pPr>
            <w:r w:rsidRPr="001D628A">
              <w:t xml:space="preserve">In re: </w:t>
            </w:r>
            <w:bookmarkStart w:id="0" w:name="SSInRe"/>
            <w:bookmarkEnd w:id="0"/>
            <w:r w:rsidRPr="001D628A">
              <w:t>Review of incentive mechanisms for the electric investor-owned utilities.</w:t>
            </w:r>
          </w:p>
        </w:tc>
        <w:tc>
          <w:tcPr>
            <w:tcW w:w="4788" w:type="dxa"/>
            <w:tcBorders>
              <w:left w:val="double" w:sz="6" w:space="0" w:color="auto"/>
            </w:tcBorders>
            <w:shd w:val="clear" w:color="auto" w:fill="auto"/>
          </w:tcPr>
          <w:p w14:paraId="4624810A" w14:textId="0AE5E7C3" w:rsidR="005312A5" w:rsidRPr="001D628A" w:rsidRDefault="005312A5" w:rsidP="005312A5">
            <w:pPr>
              <w:pStyle w:val="OrderBody"/>
            </w:pPr>
            <w:r w:rsidRPr="001D628A">
              <w:t xml:space="preserve">DOCKET NO. </w:t>
            </w:r>
            <w:bookmarkStart w:id="1" w:name="SSDocketNo"/>
            <w:bookmarkEnd w:id="1"/>
            <w:r w:rsidRPr="001D628A">
              <w:t>20250032-EI</w:t>
            </w:r>
          </w:p>
          <w:p w14:paraId="01773D98" w14:textId="71EE607F" w:rsidR="005312A5" w:rsidRPr="001D628A" w:rsidRDefault="005312A5" w:rsidP="00C63FCF">
            <w:pPr>
              <w:pStyle w:val="OrderBody"/>
              <w:tabs>
                <w:tab w:val="center" w:pos="4320"/>
                <w:tab w:val="right" w:pos="8640"/>
              </w:tabs>
              <w:jc w:val="left"/>
            </w:pPr>
            <w:r w:rsidRPr="001D628A">
              <w:t xml:space="preserve">ORDER NO. </w:t>
            </w:r>
            <w:bookmarkStart w:id="2" w:name="OrderNo0291"/>
            <w:r w:rsidR="00F10312">
              <w:t>PSC-2026-0291-PCO-EI</w:t>
            </w:r>
            <w:bookmarkEnd w:id="2"/>
          </w:p>
          <w:p w14:paraId="5682A558" w14:textId="60F8DADA" w:rsidR="005312A5" w:rsidRPr="001D628A" w:rsidRDefault="005312A5" w:rsidP="00C63FCF">
            <w:pPr>
              <w:pStyle w:val="OrderBody"/>
              <w:tabs>
                <w:tab w:val="center" w:pos="4320"/>
                <w:tab w:val="right" w:pos="8640"/>
              </w:tabs>
              <w:jc w:val="left"/>
            </w:pPr>
            <w:r w:rsidRPr="001D628A">
              <w:t xml:space="preserve">ISSUED: </w:t>
            </w:r>
            <w:r w:rsidR="00F10312">
              <w:t>August 24, 2026</w:t>
            </w:r>
          </w:p>
        </w:tc>
      </w:tr>
    </w:tbl>
    <w:p w14:paraId="249A2EC1" w14:textId="77777777" w:rsidR="005312A5" w:rsidRPr="001D628A" w:rsidRDefault="005312A5" w:rsidP="005312A5"/>
    <w:p w14:paraId="2A4CF014" w14:textId="4B1CA2B1" w:rsidR="00CB5276" w:rsidRPr="001D628A" w:rsidRDefault="00D611DF" w:rsidP="005312A5">
      <w:r w:rsidRPr="001D628A">
        <w:t xml:space="preserve"> </w:t>
      </w:r>
    </w:p>
    <w:p w14:paraId="56A26200" w14:textId="77777777" w:rsidR="005312A5" w:rsidRPr="001D628A" w:rsidRDefault="005312A5" w:rsidP="008D1D5C">
      <w:pPr>
        <w:spacing w:line="276" w:lineRule="auto"/>
        <w:jc w:val="center"/>
        <w:rPr>
          <w:rFonts w:eastAsiaTheme="minorHAnsi"/>
          <w:szCs w:val="22"/>
        </w:rPr>
      </w:pPr>
      <w:bookmarkStart w:id="3" w:name="Commissioners"/>
      <w:bookmarkEnd w:id="3"/>
      <w:r w:rsidRPr="001D628A">
        <w:rPr>
          <w:rFonts w:eastAsiaTheme="minorHAnsi"/>
          <w:szCs w:val="22"/>
        </w:rPr>
        <w:t xml:space="preserve">The following Commissioners participated in the disposition of this matter: </w:t>
      </w:r>
    </w:p>
    <w:p w14:paraId="2E967E8E" w14:textId="77777777" w:rsidR="005312A5" w:rsidRPr="001D628A" w:rsidRDefault="005312A5" w:rsidP="008D1D5C">
      <w:pPr>
        <w:spacing w:line="276" w:lineRule="auto"/>
        <w:jc w:val="center"/>
        <w:rPr>
          <w:rFonts w:eastAsiaTheme="minorHAnsi"/>
          <w:szCs w:val="22"/>
        </w:rPr>
      </w:pPr>
    </w:p>
    <w:p w14:paraId="5E81DE48" w14:textId="07ED14D9" w:rsidR="005312A5" w:rsidRPr="001D628A" w:rsidRDefault="005312A5" w:rsidP="008D1D5C">
      <w:pPr>
        <w:spacing w:line="276" w:lineRule="auto"/>
        <w:jc w:val="center"/>
        <w:rPr>
          <w:rFonts w:eastAsiaTheme="minorHAnsi"/>
          <w:szCs w:val="22"/>
        </w:rPr>
      </w:pPr>
      <w:r w:rsidRPr="001D628A">
        <w:rPr>
          <w:rFonts w:eastAsiaTheme="minorHAnsi"/>
          <w:szCs w:val="22"/>
        </w:rPr>
        <w:t>GABRIELLA PASSIDOMO SMITH, Chairman</w:t>
      </w:r>
    </w:p>
    <w:p w14:paraId="3739620C" w14:textId="2D457245" w:rsidR="005312A5" w:rsidRPr="001D628A" w:rsidRDefault="005312A5" w:rsidP="008D1D5C">
      <w:pPr>
        <w:spacing w:line="276" w:lineRule="auto"/>
        <w:jc w:val="center"/>
        <w:rPr>
          <w:rFonts w:eastAsiaTheme="minorHAnsi"/>
          <w:szCs w:val="22"/>
        </w:rPr>
      </w:pPr>
      <w:r w:rsidRPr="001D628A">
        <w:rPr>
          <w:rFonts w:eastAsiaTheme="minorHAnsi"/>
          <w:szCs w:val="22"/>
        </w:rPr>
        <w:t>GARY F. CLARK</w:t>
      </w:r>
    </w:p>
    <w:p w14:paraId="2F7343CC" w14:textId="5C3D85B3" w:rsidR="005312A5" w:rsidRPr="001D628A" w:rsidRDefault="005312A5" w:rsidP="008D1D5C">
      <w:pPr>
        <w:spacing w:line="276" w:lineRule="auto"/>
        <w:jc w:val="center"/>
        <w:rPr>
          <w:rFonts w:eastAsiaTheme="minorHAnsi"/>
          <w:szCs w:val="22"/>
        </w:rPr>
      </w:pPr>
      <w:r w:rsidRPr="001D628A">
        <w:rPr>
          <w:rFonts w:eastAsiaTheme="minorHAnsi"/>
          <w:szCs w:val="22"/>
        </w:rPr>
        <w:t>MIKE LA ROSA</w:t>
      </w:r>
    </w:p>
    <w:p w14:paraId="73FCAFFD" w14:textId="3F3F0C8D" w:rsidR="005312A5" w:rsidRPr="001D628A" w:rsidRDefault="005312A5" w:rsidP="008D1D5C">
      <w:pPr>
        <w:spacing w:line="276" w:lineRule="auto"/>
        <w:jc w:val="center"/>
        <w:rPr>
          <w:rFonts w:eastAsiaTheme="minorHAnsi"/>
          <w:szCs w:val="22"/>
        </w:rPr>
      </w:pPr>
      <w:r w:rsidRPr="001D628A">
        <w:rPr>
          <w:rFonts w:eastAsiaTheme="minorHAnsi"/>
          <w:szCs w:val="22"/>
        </w:rPr>
        <w:t>BOBBY PAYNE</w:t>
      </w:r>
    </w:p>
    <w:p w14:paraId="3FF876AB" w14:textId="70D165F8" w:rsidR="005312A5" w:rsidRPr="001D628A" w:rsidRDefault="005312A5" w:rsidP="008D1D5C">
      <w:pPr>
        <w:spacing w:line="276" w:lineRule="auto"/>
        <w:jc w:val="center"/>
        <w:rPr>
          <w:rFonts w:eastAsiaTheme="minorHAnsi"/>
          <w:szCs w:val="22"/>
        </w:rPr>
      </w:pPr>
      <w:r w:rsidRPr="001D628A">
        <w:rPr>
          <w:rFonts w:eastAsiaTheme="minorHAnsi"/>
          <w:szCs w:val="22"/>
        </w:rPr>
        <w:t>ANA ORTEGA</w:t>
      </w:r>
    </w:p>
    <w:p w14:paraId="39ED5E68" w14:textId="77777777" w:rsidR="005312A5" w:rsidRPr="001D628A" w:rsidRDefault="005312A5" w:rsidP="008D1D5C">
      <w:pPr>
        <w:spacing w:line="276" w:lineRule="auto"/>
        <w:rPr>
          <w:rFonts w:eastAsiaTheme="minorHAnsi"/>
          <w:szCs w:val="22"/>
        </w:rPr>
      </w:pPr>
    </w:p>
    <w:p w14:paraId="64A2FC71" w14:textId="77777777" w:rsidR="00CB5276" w:rsidRPr="001D628A" w:rsidRDefault="00CB5276">
      <w:pPr>
        <w:pStyle w:val="OrderBody"/>
      </w:pPr>
    </w:p>
    <w:p w14:paraId="0550CDA0" w14:textId="57A29338" w:rsidR="005312A5" w:rsidRPr="001D628A" w:rsidRDefault="005312A5" w:rsidP="005312A5">
      <w:pPr>
        <w:pStyle w:val="CenterUnderline"/>
      </w:pPr>
      <w:r w:rsidRPr="001D628A">
        <w:t>ORDER</w:t>
      </w:r>
      <w:bookmarkStart w:id="4" w:name="OrderTitle"/>
      <w:r w:rsidR="0049233E">
        <w:t xml:space="preserve"> CLOSING </w:t>
      </w:r>
      <w:r w:rsidR="003D753D">
        <w:t xml:space="preserve">INCENTIVE MECHANISMS REVIEW </w:t>
      </w:r>
      <w:r w:rsidR="0049233E">
        <w:t>DOCKET</w:t>
      </w:r>
      <w:r w:rsidRPr="001D628A">
        <w:t xml:space="preserve"> </w:t>
      </w:r>
      <w:bookmarkEnd w:id="4"/>
    </w:p>
    <w:p w14:paraId="12C3A168" w14:textId="77777777" w:rsidR="005312A5" w:rsidRPr="001D628A" w:rsidRDefault="005312A5" w:rsidP="005312A5">
      <w:pPr>
        <w:pStyle w:val="CenterUnderline"/>
      </w:pPr>
    </w:p>
    <w:p w14:paraId="6E95B010" w14:textId="7F903B56" w:rsidR="005312A5" w:rsidRPr="001D628A" w:rsidRDefault="005312A5" w:rsidP="005312A5">
      <w:pPr>
        <w:pStyle w:val="OrderBody"/>
      </w:pPr>
      <w:r w:rsidRPr="001D628A">
        <w:t>BY THE COMMISSION:</w:t>
      </w:r>
    </w:p>
    <w:p w14:paraId="22AE931E" w14:textId="77777777" w:rsidR="00CA6D35" w:rsidRDefault="00CA6D35" w:rsidP="00CA6D35">
      <w:pPr>
        <w:pStyle w:val="BodyText"/>
        <w:spacing w:after="0"/>
        <w:jc w:val="both"/>
      </w:pPr>
    </w:p>
    <w:p w14:paraId="4BC8A23B" w14:textId="213BF40E" w:rsidR="00CA6D35" w:rsidRPr="00CA6D35" w:rsidRDefault="005D6624" w:rsidP="00CA6D35">
      <w:pPr>
        <w:pStyle w:val="BodyText"/>
        <w:spacing w:after="0"/>
        <w:jc w:val="center"/>
        <w:rPr>
          <w:u w:val="single"/>
        </w:rPr>
      </w:pPr>
      <w:r>
        <w:rPr>
          <w:u w:val="single"/>
        </w:rPr>
        <w:t xml:space="preserve">Procedural </w:t>
      </w:r>
      <w:r w:rsidR="00CA6D35" w:rsidRPr="00CA6D35">
        <w:rPr>
          <w:u w:val="single"/>
        </w:rPr>
        <w:t>Background</w:t>
      </w:r>
    </w:p>
    <w:p w14:paraId="2A48781E" w14:textId="77777777" w:rsidR="00CA6D35" w:rsidRDefault="00CA6D35" w:rsidP="00CA6D35">
      <w:pPr>
        <w:pStyle w:val="BodyText"/>
        <w:spacing w:after="0"/>
        <w:jc w:val="both"/>
      </w:pPr>
    </w:p>
    <w:p w14:paraId="695E2763" w14:textId="0433A5A2" w:rsidR="001D628A" w:rsidRDefault="00CA6D35" w:rsidP="00CA6D35">
      <w:pPr>
        <w:pStyle w:val="BodyText"/>
        <w:spacing w:after="0"/>
        <w:ind w:firstLine="720"/>
        <w:jc w:val="both"/>
      </w:pPr>
      <w:r>
        <w:t xml:space="preserve">By </w:t>
      </w:r>
      <w:r w:rsidR="001D628A" w:rsidRPr="001D628A">
        <w:t>Order No. PSC-2025-0038-FOF-EI (</w:t>
      </w:r>
      <w:bookmarkStart w:id="5" w:name="_Hlk236919966"/>
      <w:r w:rsidR="001D628A" w:rsidRPr="001D628A">
        <w:t>2025 TECO Order</w:t>
      </w:r>
      <w:bookmarkEnd w:id="5"/>
      <w:r w:rsidR="001D628A" w:rsidRPr="001D628A">
        <w:t xml:space="preserve">), as part of Tampa Electric Company’s (TECO) 2024 base rate proceeding, </w:t>
      </w:r>
      <w:r w:rsidR="00C11D46">
        <w:t xml:space="preserve">we </w:t>
      </w:r>
      <w:r w:rsidR="001D628A" w:rsidRPr="001D628A">
        <w:t xml:space="preserve">directed </w:t>
      </w:r>
      <w:r w:rsidR="00C11D46">
        <w:t xml:space="preserve">Commission </w:t>
      </w:r>
      <w:r w:rsidR="001D628A" w:rsidRPr="001D628A">
        <w:t xml:space="preserve">staff to open a generic docket to allow </w:t>
      </w:r>
      <w:r w:rsidR="00D95E6A">
        <w:t xml:space="preserve">us </w:t>
      </w:r>
      <w:r w:rsidR="001D628A" w:rsidRPr="001D628A">
        <w:t>to evaluate the various Asset Optimization Mechanisms (AOMs) for all the electric investor-owned utilities (IOUs).</w:t>
      </w:r>
      <w:r w:rsidR="001D628A" w:rsidRPr="001D628A">
        <w:rPr>
          <w:rStyle w:val="FootnoteReference"/>
        </w:rPr>
        <w:footnoteReference w:id="1"/>
      </w:r>
      <w:r w:rsidR="001D628A" w:rsidRPr="001D628A">
        <w:t xml:space="preserve"> AOMs are broadly defined as incentive mechanisms to encourage utilities to produce gains from existing utility assets, such as through wholesale energy transactions or fuel stockpile transactions that do not impact system reliability</w:t>
      </w:r>
      <w:r w:rsidR="00D95E6A">
        <w:t xml:space="preserve">. We </w:t>
      </w:r>
      <w:r w:rsidR="001D628A" w:rsidRPr="001D628A">
        <w:t xml:space="preserve">directed </w:t>
      </w:r>
      <w:r w:rsidR="00D95E6A">
        <w:t xml:space="preserve">Commission </w:t>
      </w:r>
      <w:r w:rsidR="001D628A" w:rsidRPr="001D628A">
        <w:t xml:space="preserve">staff to conduct a workshop in the generic docket to allow the </w:t>
      </w:r>
      <w:r w:rsidR="00294F5B">
        <w:t xml:space="preserve">electric </w:t>
      </w:r>
      <w:r w:rsidR="001D628A" w:rsidRPr="001D628A">
        <w:t>IOUs and interested parties to provide input on the AOMs.</w:t>
      </w:r>
    </w:p>
    <w:p w14:paraId="1F84A0ED" w14:textId="77777777" w:rsidR="00CA6D35" w:rsidRPr="001D628A" w:rsidRDefault="00CA6D35" w:rsidP="00CA6D35">
      <w:pPr>
        <w:pStyle w:val="BodyText"/>
        <w:spacing w:after="0"/>
        <w:jc w:val="both"/>
      </w:pPr>
    </w:p>
    <w:p w14:paraId="10190658" w14:textId="1962F323" w:rsidR="00D23CEA" w:rsidRDefault="001D628A" w:rsidP="00D23CEA">
      <w:pPr>
        <w:pStyle w:val="BodyText"/>
        <w:spacing w:after="0"/>
        <w:ind w:firstLine="720"/>
        <w:jc w:val="both"/>
      </w:pPr>
      <w:r w:rsidRPr="001D628A">
        <w:t xml:space="preserve">On February 12, 2025, Docket </w:t>
      </w:r>
      <w:r w:rsidR="00173ADC">
        <w:t xml:space="preserve">No. </w:t>
      </w:r>
      <w:r w:rsidRPr="001D628A">
        <w:t xml:space="preserve">20250032-EI was established to review the various incentive mechanisms associated with utility assets supported by ratepayer funds. On February 13, 2025, the Office of Public Counsel (OPC) filed a Notice of Intervention, which was acknowledged by Order No. PSC-2025-0055-PCO-EI. </w:t>
      </w:r>
      <w:r w:rsidR="00173ADC">
        <w:t>Commission s</w:t>
      </w:r>
      <w:r w:rsidRPr="001D628A">
        <w:t xml:space="preserve">taff propounded one round of data requests to the </w:t>
      </w:r>
      <w:r w:rsidR="00294F5B">
        <w:t xml:space="preserve">electric </w:t>
      </w:r>
      <w:r w:rsidRPr="001D628A">
        <w:t xml:space="preserve">IOUs, including Florida Power &amp; Light Company (FPL), Duke Energy Florida, LLC (DEF), TECO, and Florida Public Utilities Company (FPUC). A second round of data requests </w:t>
      </w:r>
      <w:r w:rsidR="00EF1D4B">
        <w:t>was</w:t>
      </w:r>
      <w:r w:rsidRPr="001D628A">
        <w:t xml:space="preserve"> propounded to FPL, DEF, and TECO. FPUC was excluded from </w:t>
      </w:r>
      <w:r w:rsidR="00EF1D4B">
        <w:t>the second</w:t>
      </w:r>
      <w:r w:rsidRPr="001D628A">
        <w:t xml:space="preserve"> round </w:t>
      </w:r>
      <w:r w:rsidR="00EF1D4B">
        <w:t xml:space="preserve">because </w:t>
      </w:r>
      <w:r w:rsidRPr="001D628A">
        <w:t xml:space="preserve">it is not a generating IOU, and therefore does not engage in wholesale energy transactions and does not have fuel or generation associated assets for asset optimization. For purposes of this </w:t>
      </w:r>
      <w:r w:rsidR="008801C2">
        <w:t>Order</w:t>
      </w:r>
      <w:r w:rsidRPr="001D628A">
        <w:t xml:space="preserve">, </w:t>
      </w:r>
      <w:r w:rsidR="008801C2">
        <w:t>any</w:t>
      </w:r>
      <w:r w:rsidRPr="001D628A">
        <w:t xml:space="preserve"> future reference </w:t>
      </w:r>
      <w:r w:rsidR="00163676">
        <w:t xml:space="preserve">made herein </w:t>
      </w:r>
      <w:r w:rsidRPr="001D628A">
        <w:t xml:space="preserve">to the </w:t>
      </w:r>
      <w:r w:rsidR="001318EF">
        <w:t xml:space="preserve">electric </w:t>
      </w:r>
      <w:r w:rsidRPr="001D628A">
        <w:t>IOUs</w:t>
      </w:r>
      <w:r w:rsidR="00D23CEA">
        <w:t xml:space="preserve"> do</w:t>
      </w:r>
      <w:r w:rsidR="00163676">
        <w:t>es</w:t>
      </w:r>
      <w:r w:rsidR="00D23CEA">
        <w:t xml:space="preserve"> not include </w:t>
      </w:r>
      <w:r w:rsidRPr="001D628A">
        <w:t>FPUC.</w:t>
      </w:r>
    </w:p>
    <w:p w14:paraId="37F07EB8" w14:textId="5C4A7100" w:rsidR="001D628A" w:rsidRPr="001D628A" w:rsidRDefault="00D23CEA" w:rsidP="00D23CEA">
      <w:pPr>
        <w:pStyle w:val="BodyText"/>
        <w:spacing w:after="0"/>
        <w:ind w:firstLine="720"/>
        <w:jc w:val="both"/>
      </w:pPr>
      <w:r>
        <w:lastRenderedPageBreak/>
        <w:t>Commission s</w:t>
      </w:r>
      <w:r w:rsidR="001D628A" w:rsidRPr="001D628A">
        <w:t xml:space="preserve">taff </w:t>
      </w:r>
      <w:r>
        <w:t>conducted</w:t>
      </w:r>
      <w:r w:rsidR="001D628A" w:rsidRPr="001D628A">
        <w:t xml:space="preserve"> a workshop on February 5, 2026. The IOUs, OPC, and Florida Rising, Inc. (FL Rising) participated in the workshop and submitted post-workshop comments.</w:t>
      </w:r>
      <w:r w:rsidR="001D628A" w:rsidRPr="001D628A">
        <w:rPr>
          <w:rStyle w:val="FootnoteReference"/>
        </w:rPr>
        <w:footnoteReference w:id="2"/>
      </w:r>
    </w:p>
    <w:p w14:paraId="7641C572" w14:textId="77777777" w:rsidR="001A2EB3" w:rsidRDefault="001A2EB3" w:rsidP="00CA6D35">
      <w:pPr>
        <w:pStyle w:val="ListParagraph"/>
        <w:ind w:left="0"/>
        <w:jc w:val="both"/>
        <w:rPr>
          <w:rFonts w:ascii="Times New Roman" w:hAnsi="Times New Roman"/>
        </w:rPr>
      </w:pPr>
    </w:p>
    <w:p w14:paraId="7FD0D0AE" w14:textId="6946C4CD" w:rsidR="001D628A" w:rsidRDefault="001A2EB3" w:rsidP="001A2EB3">
      <w:pPr>
        <w:pStyle w:val="ListParagraph"/>
        <w:ind w:left="0" w:firstLine="720"/>
        <w:jc w:val="both"/>
        <w:rPr>
          <w:rFonts w:ascii="Times New Roman" w:hAnsi="Times New Roman"/>
        </w:rPr>
      </w:pPr>
      <w:r>
        <w:rPr>
          <w:rFonts w:ascii="Times New Roman" w:hAnsi="Times New Roman"/>
        </w:rPr>
        <w:t xml:space="preserve">We have </w:t>
      </w:r>
      <w:r w:rsidR="001D628A" w:rsidRPr="001D628A">
        <w:rPr>
          <w:rFonts w:ascii="Times New Roman" w:hAnsi="Times New Roman"/>
        </w:rPr>
        <w:t>jurisdiction over this matter pursuant to Sections 366.04, 366.041, and 366.05, Florida Statutes (F.S.).</w:t>
      </w:r>
    </w:p>
    <w:p w14:paraId="72138C18" w14:textId="77777777" w:rsidR="00695E65" w:rsidRDefault="00695E65" w:rsidP="00695E65">
      <w:pPr>
        <w:jc w:val="both"/>
      </w:pPr>
    </w:p>
    <w:p w14:paraId="680AF1FB" w14:textId="7800CFE8" w:rsidR="00695E65" w:rsidRPr="00695E65" w:rsidRDefault="00695E65" w:rsidP="00695E65">
      <w:pPr>
        <w:jc w:val="center"/>
        <w:rPr>
          <w:u w:val="single"/>
        </w:rPr>
      </w:pPr>
      <w:r w:rsidRPr="00695E65">
        <w:rPr>
          <w:u w:val="single"/>
        </w:rPr>
        <w:t>Decision</w:t>
      </w:r>
    </w:p>
    <w:p w14:paraId="2CB04221" w14:textId="77777777" w:rsidR="00695E65" w:rsidRDefault="00695E65" w:rsidP="00695E65">
      <w:pPr>
        <w:pStyle w:val="BodyText"/>
        <w:spacing w:after="0"/>
        <w:jc w:val="both"/>
      </w:pPr>
    </w:p>
    <w:p w14:paraId="7FC230EE" w14:textId="452A158E" w:rsidR="005D6624" w:rsidRPr="005D6624" w:rsidRDefault="005D6624" w:rsidP="005D6624">
      <w:pPr>
        <w:pStyle w:val="BodyText"/>
        <w:numPr>
          <w:ilvl w:val="0"/>
          <w:numId w:val="2"/>
        </w:numPr>
        <w:spacing w:after="0"/>
        <w:jc w:val="both"/>
        <w:rPr>
          <w:b/>
          <w:bCs/>
        </w:rPr>
      </w:pPr>
      <w:r w:rsidRPr="005D6624">
        <w:rPr>
          <w:b/>
          <w:bCs/>
        </w:rPr>
        <w:t>Brief History</w:t>
      </w:r>
    </w:p>
    <w:p w14:paraId="301D72EB" w14:textId="77777777" w:rsidR="005D6624" w:rsidRDefault="005D6624" w:rsidP="00695E65">
      <w:pPr>
        <w:pStyle w:val="BodyText"/>
        <w:spacing w:after="0"/>
        <w:jc w:val="both"/>
      </w:pPr>
    </w:p>
    <w:p w14:paraId="313853B2" w14:textId="0C07B575" w:rsidR="001D628A" w:rsidRPr="001D628A" w:rsidRDefault="00294F5B" w:rsidP="00294F5B">
      <w:pPr>
        <w:ind w:firstLine="720"/>
        <w:jc w:val="both"/>
      </w:pPr>
      <w:r>
        <w:t xml:space="preserve">We </w:t>
      </w:r>
      <w:r w:rsidR="001D628A" w:rsidRPr="001D628A">
        <w:t>first approved an asset optimization mechanism as part of FPL’s 2013 base rate proceeding.</w:t>
      </w:r>
      <w:r w:rsidR="001D628A" w:rsidRPr="001D628A">
        <w:rPr>
          <w:rStyle w:val="FootnoteReference"/>
        </w:rPr>
        <w:footnoteReference w:id="3"/>
      </w:r>
      <w:r w:rsidR="001D628A" w:rsidRPr="001D628A">
        <w:t xml:space="preserve"> In 2023, the Florida Supreme Court expressly recognized </w:t>
      </w:r>
      <w:r>
        <w:t xml:space="preserve">our </w:t>
      </w:r>
      <w:r w:rsidR="001D628A" w:rsidRPr="001D628A">
        <w:t>statutory authority to approve asset optimization incentives.</w:t>
      </w:r>
      <w:r w:rsidR="001D628A" w:rsidRPr="001D628A">
        <w:rPr>
          <w:rStyle w:val="FootnoteReference"/>
        </w:rPr>
        <w:footnoteReference w:id="4"/>
      </w:r>
      <w:r w:rsidR="001D628A" w:rsidRPr="001D628A">
        <w:t xml:space="preserve"> As of 2025, all the electric IOUs have a utility-specific</w:t>
      </w:r>
      <w:r w:rsidR="00310E45">
        <w:t>,</w:t>
      </w:r>
      <w:r w:rsidR="001D628A" w:rsidRPr="001D628A">
        <w:t xml:space="preserve"> Commission-approved AOM. However, as </w:t>
      </w:r>
      <w:r w:rsidR="00310E45">
        <w:t>this</w:t>
      </w:r>
      <w:r w:rsidR="001D628A" w:rsidRPr="001D628A">
        <w:t xml:space="preserve"> Commission recognized in the 2025 TECO Order, the approved AOMs are dissimilar in terms of allowable activities and revenue sharing thresholds. This is in part due to all prior AOMs being approved as part of comprehensive settlement agreements. Consequently, through </w:t>
      </w:r>
      <w:r w:rsidR="00310E45">
        <w:t>the</w:t>
      </w:r>
      <w:r w:rsidR="001D628A" w:rsidRPr="001D628A">
        <w:t xml:space="preserve"> 2025 TECO Order, </w:t>
      </w:r>
      <w:r w:rsidR="00310E45">
        <w:t xml:space="preserve">we </w:t>
      </w:r>
      <w:r w:rsidR="001D628A" w:rsidRPr="001D628A">
        <w:t xml:space="preserve">determined that a generic proceeding </w:t>
      </w:r>
      <w:r w:rsidR="00310E45">
        <w:t xml:space="preserve">should </w:t>
      </w:r>
      <w:r w:rsidR="001D628A" w:rsidRPr="001D628A">
        <w:t xml:space="preserve">be established and a workshop </w:t>
      </w:r>
      <w:r w:rsidR="006D44CD">
        <w:t xml:space="preserve">should </w:t>
      </w:r>
      <w:r w:rsidR="001D628A" w:rsidRPr="001D628A">
        <w:t>be held.</w:t>
      </w:r>
    </w:p>
    <w:p w14:paraId="58EFAB54" w14:textId="77777777" w:rsidR="001D628A" w:rsidRPr="001D628A" w:rsidRDefault="001D628A" w:rsidP="007F6D30">
      <w:pPr>
        <w:jc w:val="both"/>
      </w:pPr>
    </w:p>
    <w:p w14:paraId="7D8CA348" w14:textId="358483CA" w:rsidR="001D628A" w:rsidRPr="008518B3" w:rsidRDefault="001D628A" w:rsidP="00310E45">
      <w:pPr>
        <w:ind w:firstLine="720"/>
        <w:jc w:val="both"/>
      </w:pPr>
      <w:r w:rsidRPr="001D628A">
        <w:t xml:space="preserve">Before </w:t>
      </w:r>
      <w:r w:rsidR="006D44CD">
        <w:t>this</w:t>
      </w:r>
      <w:r w:rsidRPr="001D628A">
        <w:t xml:space="preserve"> Commission approved the first AOM in 2013, </w:t>
      </w:r>
      <w:r w:rsidR="006D44CD">
        <w:t>we</w:t>
      </w:r>
      <w:r w:rsidRPr="001D628A">
        <w:t xml:space="preserve"> relied </w:t>
      </w:r>
      <w:r w:rsidR="006D44CD">
        <w:t>upon</w:t>
      </w:r>
      <w:r w:rsidRPr="001D628A">
        <w:t xml:space="preserve"> the Generating Performance Incentive Factor (GPIF) program to optimize the efficiency and performance of the IOUs’ base load generating units through the annual Fuel Clause proceeding. The GPIF was established as a performance-based incentive to promote efficient plant operations while helping control fuel costs for customers. When </w:t>
      </w:r>
      <w:r w:rsidR="006D44CD">
        <w:t>this</w:t>
      </w:r>
      <w:r w:rsidRPr="001D628A">
        <w:t xml:space="preserve"> Commission later adopted the first AOM for FPL in 2013, questions arose regarding the relationship between the AOM and the existing GPIF program, as incentives for generator efficiency and availability may impact their performance for wholesale energy sales or purchases. As such, as part of the 2013 Fuel Clause proceeding, </w:t>
      </w:r>
      <w:r w:rsidR="006D44CD">
        <w:t xml:space="preserve">we </w:t>
      </w:r>
      <w:r w:rsidRPr="001D628A">
        <w:t>directed FPL, the sole utility with an AOM at the time, to review the interrelationship between the AOM and the GPIF program during 2015.</w:t>
      </w:r>
      <w:r w:rsidRPr="001D628A">
        <w:rPr>
          <w:rStyle w:val="FootnoteReference"/>
        </w:rPr>
        <w:footnoteReference w:id="5"/>
      </w:r>
      <w:r w:rsidRPr="001D628A">
        <w:t xml:space="preserve"> However, this review was never completed due to subsequent settlement agreements. Therefore, as part of the 2026 workshop</w:t>
      </w:r>
      <w:r w:rsidR="00663D2E">
        <w:t>,</w:t>
      </w:r>
      <w:r w:rsidRPr="001D628A">
        <w:t xml:space="preserve"> </w:t>
      </w:r>
      <w:r w:rsidR="00E46160">
        <w:t xml:space="preserve">Commission </w:t>
      </w:r>
      <w:r w:rsidRPr="001D628A">
        <w:t>staff took the opportunity to also discuss a</w:t>
      </w:r>
      <w:r w:rsidRPr="008518B3">
        <w:t xml:space="preserve">nd solicit comment on </w:t>
      </w:r>
      <w:r w:rsidR="00663D2E" w:rsidRPr="008518B3">
        <w:t xml:space="preserve">the </w:t>
      </w:r>
      <w:r w:rsidRPr="008518B3">
        <w:t xml:space="preserve">GPIF </w:t>
      </w:r>
      <w:r w:rsidR="00663D2E" w:rsidRPr="008518B3">
        <w:t>because</w:t>
      </w:r>
      <w:r w:rsidRPr="008518B3">
        <w:t xml:space="preserve"> a similar relationship between AOMs incentives and GPIF could be evaluated for all the electric IOUs.</w:t>
      </w:r>
    </w:p>
    <w:p w14:paraId="17610555" w14:textId="77777777" w:rsidR="001D628A" w:rsidRDefault="001D628A" w:rsidP="007F6D30">
      <w:pPr>
        <w:jc w:val="both"/>
      </w:pPr>
    </w:p>
    <w:p w14:paraId="6512D308" w14:textId="77777777" w:rsidR="007977AB" w:rsidRDefault="007977AB" w:rsidP="007F6D30">
      <w:pPr>
        <w:jc w:val="both"/>
      </w:pPr>
    </w:p>
    <w:p w14:paraId="359FE0C8" w14:textId="77777777" w:rsidR="007977AB" w:rsidRDefault="007977AB" w:rsidP="007F6D30">
      <w:pPr>
        <w:jc w:val="both"/>
      </w:pPr>
    </w:p>
    <w:p w14:paraId="15C15AD5" w14:textId="77777777" w:rsidR="007977AB" w:rsidRPr="008518B3" w:rsidRDefault="007977AB" w:rsidP="007F6D30">
      <w:pPr>
        <w:jc w:val="both"/>
      </w:pPr>
    </w:p>
    <w:p w14:paraId="0591607B" w14:textId="7DA31556" w:rsidR="00541B17" w:rsidRPr="007977AB" w:rsidRDefault="00541B17" w:rsidP="008518B3">
      <w:pPr>
        <w:pStyle w:val="ListParagraph"/>
        <w:numPr>
          <w:ilvl w:val="0"/>
          <w:numId w:val="2"/>
        </w:numPr>
        <w:jc w:val="both"/>
        <w:rPr>
          <w:rFonts w:ascii="Times New Roman" w:hAnsi="Times New Roman"/>
          <w:b/>
          <w:bCs/>
        </w:rPr>
      </w:pPr>
      <w:r w:rsidRPr="007977AB">
        <w:rPr>
          <w:rFonts w:ascii="Times New Roman" w:hAnsi="Times New Roman"/>
          <w:b/>
          <w:bCs/>
        </w:rPr>
        <w:lastRenderedPageBreak/>
        <w:t>Current Asset Optimization Mechanisms</w:t>
      </w:r>
    </w:p>
    <w:p w14:paraId="0AE0F598" w14:textId="77777777" w:rsidR="00541B17" w:rsidRPr="008518B3" w:rsidRDefault="00541B17" w:rsidP="007F6D30">
      <w:pPr>
        <w:jc w:val="both"/>
      </w:pPr>
    </w:p>
    <w:p w14:paraId="73377650" w14:textId="09B568A4" w:rsidR="001D628A" w:rsidRDefault="001D628A" w:rsidP="007977AB">
      <w:pPr>
        <w:ind w:firstLine="720"/>
        <w:jc w:val="both"/>
      </w:pPr>
      <w:r w:rsidRPr="001D628A">
        <w:t>As of 2026, gains attributed to AOM</w:t>
      </w:r>
      <w:r w:rsidR="00B561A5">
        <w:t>s</w:t>
      </w:r>
      <w:r w:rsidRPr="001D628A">
        <w:t xml:space="preserve"> include wholesales purchases, wholesales sales, and asset optimization activities, which vary by utility. Table 1 identifies the allowable asset optimization activities by</w:t>
      </w:r>
      <w:r w:rsidR="00B561A5">
        <w:t xml:space="preserve"> electric</w:t>
      </w:r>
      <w:r w:rsidRPr="001D628A">
        <w:t xml:space="preserve"> IOU.</w:t>
      </w:r>
    </w:p>
    <w:p w14:paraId="14B9ABFE" w14:textId="77777777" w:rsidR="007977AB" w:rsidRPr="001D628A" w:rsidRDefault="007977AB" w:rsidP="007977AB">
      <w:pPr>
        <w:jc w:val="both"/>
      </w:pPr>
    </w:p>
    <w:p w14:paraId="41B9B642" w14:textId="251560DD" w:rsidR="001D628A" w:rsidRPr="001D628A" w:rsidRDefault="001D628A" w:rsidP="007977AB">
      <w:pPr>
        <w:pStyle w:val="TableNumber"/>
        <w:keepNext/>
        <w:spacing w:before="0"/>
        <w:rPr>
          <w:rFonts w:ascii="Times New Roman" w:hAnsi="Times New Roman"/>
        </w:rPr>
      </w:pPr>
      <w:r w:rsidRPr="001D628A">
        <w:rPr>
          <w:rFonts w:ascii="Times New Roman" w:hAnsi="Times New Roman"/>
        </w:rPr>
        <w:t>Table 1</w:t>
      </w:r>
    </w:p>
    <w:p w14:paraId="0C91EC74" w14:textId="77777777" w:rsidR="001D628A" w:rsidRPr="001D628A" w:rsidRDefault="001D628A" w:rsidP="001D628A">
      <w:pPr>
        <w:pStyle w:val="TableTitle"/>
        <w:keepNext/>
        <w:rPr>
          <w:rFonts w:ascii="Times New Roman" w:hAnsi="Times New Roman"/>
        </w:rPr>
      </w:pPr>
      <w:r w:rsidRPr="001D628A">
        <w:rPr>
          <w:rFonts w:ascii="Times New Roman" w:hAnsi="Times New Roman"/>
        </w:rPr>
        <w:t>Asset Optimization Activities by Utility</w:t>
      </w:r>
    </w:p>
    <w:tbl>
      <w:tblPr>
        <w:tblStyle w:val="TableGrid"/>
        <w:tblW w:w="7702" w:type="dxa"/>
        <w:jc w:val="center"/>
        <w:tblLook w:val="04A0" w:firstRow="1" w:lastRow="0" w:firstColumn="1" w:lastColumn="0" w:noHBand="0" w:noVBand="1"/>
      </w:tblPr>
      <w:tblGrid>
        <w:gridCol w:w="4552"/>
        <w:gridCol w:w="1050"/>
        <w:gridCol w:w="1050"/>
        <w:gridCol w:w="1050"/>
      </w:tblGrid>
      <w:tr w:rsidR="001D628A" w:rsidRPr="001D628A" w14:paraId="5F8DF6B9" w14:textId="77777777" w:rsidTr="00DA7185">
        <w:trPr>
          <w:jc w:val="center"/>
        </w:trPr>
        <w:tc>
          <w:tcPr>
            <w:tcW w:w="4552" w:type="dxa"/>
          </w:tcPr>
          <w:p w14:paraId="5528D5E3" w14:textId="77777777" w:rsidR="001D628A" w:rsidRPr="001D628A" w:rsidRDefault="001D628A" w:rsidP="00DA7185">
            <w:pPr>
              <w:keepNext/>
              <w:rPr>
                <w:b/>
                <w:bCs/>
              </w:rPr>
            </w:pPr>
            <w:r w:rsidRPr="001D628A">
              <w:rPr>
                <w:b/>
                <w:bCs/>
              </w:rPr>
              <w:t>Asset Optimization Activities</w:t>
            </w:r>
          </w:p>
        </w:tc>
        <w:tc>
          <w:tcPr>
            <w:tcW w:w="1050" w:type="dxa"/>
            <w:vAlign w:val="center"/>
          </w:tcPr>
          <w:p w14:paraId="1AA244B4" w14:textId="77777777" w:rsidR="001D628A" w:rsidRPr="001D628A" w:rsidRDefault="001D628A" w:rsidP="00DA7185">
            <w:pPr>
              <w:keepNext/>
              <w:jc w:val="center"/>
              <w:rPr>
                <w:b/>
                <w:bCs/>
              </w:rPr>
            </w:pPr>
            <w:r w:rsidRPr="001D628A">
              <w:rPr>
                <w:b/>
                <w:bCs/>
              </w:rPr>
              <w:t>FPL</w:t>
            </w:r>
          </w:p>
        </w:tc>
        <w:tc>
          <w:tcPr>
            <w:tcW w:w="1050" w:type="dxa"/>
            <w:vAlign w:val="center"/>
          </w:tcPr>
          <w:p w14:paraId="5E325BB2" w14:textId="77777777" w:rsidR="001D628A" w:rsidRPr="001D628A" w:rsidRDefault="001D628A" w:rsidP="00DA7185">
            <w:pPr>
              <w:keepNext/>
              <w:jc w:val="center"/>
              <w:rPr>
                <w:b/>
                <w:bCs/>
              </w:rPr>
            </w:pPr>
            <w:r w:rsidRPr="001D628A">
              <w:rPr>
                <w:b/>
                <w:bCs/>
              </w:rPr>
              <w:t>TECO</w:t>
            </w:r>
          </w:p>
        </w:tc>
        <w:tc>
          <w:tcPr>
            <w:tcW w:w="1050" w:type="dxa"/>
            <w:vAlign w:val="center"/>
          </w:tcPr>
          <w:p w14:paraId="4CF49F3E" w14:textId="77777777" w:rsidR="001D628A" w:rsidRPr="001D628A" w:rsidRDefault="001D628A" w:rsidP="00DA7185">
            <w:pPr>
              <w:keepNext/>
              <w:jc w:val="center"/>
              <w:rPr>
                <w:b/>
                <w:bCs/>
              </w:rPr>
            </w:pPr>
            <w:r w:rsidRPr="001D628A">
              <w:rPr>
                <w:b/>
                <w:bCs/>
              </w:rPr>
              <w:t>DEF</w:t>
            </w:r>
          </w:p>
        </w:tc>
      </w:tr>
      <w:tr w:rsidR="001D628A" w:rsidRPr="001D628A" w14:paraId="61BD05EC" w14:textId="77777777" w:rsidTr="00DA7185">
        <w:trPr>
          <w:jc w:val="center"/>
        </w:trPr>
        <w:tc>
          <w:tcPr>
            <w:tcW w:w="4552" w:type="dxa"/>
          </w:tcPr>
          <w:p w14:paraId="643EF1F1" w14:textId="77777777" w:rsidR="001D628A" w:rsidRPr="001D628A" w:rsidRDefault="001D628A" w:rsidP="00DA7185">
            <w:pPr>
              <w:keepNext/>
            </w:pPr>
            <w:r w:rsidRPr="001D628A">
              <w:t>Asset Management Agreements</w:t>
            </w:r>
          </w:p>
        </w:tc>
        <w:tc>
          <w:tcPr>
            <w:tcW w:w="1050" w:type="dxa"/>
            <w:vAlign w:val="center"/>
          </w:tcPr>
          <w:p w14:paraId="5DD4A97A" w14:textId="77777777" w:rsidR="001D628A" w:rsidRPr="001D628A" w:rsidRDefault="001D628A" w:rsidP="00DA7185">
            <w:pPr>
              <w:keepNext/>
              <w:jc w:val="center"/>
            </w:pPr>
            <w:r w:rsidRPr="001D628A">
              <w:sym w:font="Wingdings" w:char="F0FC"/>
            </w:r>
          </w:p>
        </w:tc>
        <w:tc>
          <w:tcPr>
            <w:tcW w:w="1050" w:type="dxa"/>
            <w:vAlign w:val="center"/>
          </w:tcPr>
          <w:p w14:paraId="4276A1FC" w14:textId="77777777" w:rsidR="001D628A" w:rsidRPr="001D628A" w:rsidRDefault="001D628A" w:rsidP="00DA7185">
            <w:pPr>
              <w:keepNext/>
              <w:jc w:val="center"/>
            </w:pPr>
            <w:r w:rsidRPr="001D628A">
              <w:sym w:font="Wingdings" w:char="F0FC"/>
            </w:r>
          </w:p>
        </w:tc>
        <w:tc>
          <w:tcPr>
            <w:tcW w:w="1050" w:type="dxa"/>
            <w:vAlign w:val="center"/>
          </w:tcPr>
          <w:p w14:paraId="5C311344" w14:textId="77777777" w:rsidR="001D628A" w:rsidRPr="001D628A" w:rsidRDefault="001D628A" w:rsidP="00DA7185">
            <w:pPr>
              <w:keepNext/>
              <w:jc w:val="center"/>
            </w:pPr>
            <w:r w:rsidRPr="001D628A">
              <w:sym w:font="Wingdings" w:char="F0FC"/>
            </w:r>
          </w:p>
        </w:tc>
      </w:tr>
      <w:tr w:rsidR="001D628A" w:rsidRPr="001D628A" w14:paraId="7ECABD50" w14:textId="77777777" w:rsidTr="00DA7185">
        <w:trPr>
          <w:jc w:val="center"/>
        </w:trPr>
        <w:tc>
          <w:tcPr>
            <w:tcW w:w="4552" w:type="dxa"/>
          </w:tcPr>
          <w:p w14:paraId="2B990FFE" w14:textId="77777777" w:rsidR="001D628A" w:rsidRPr="001D628A" w:rsidRDefault="001D628A" w:rsidP="00DA7185">
            <w:pPr>
              <w:keepNext/>
            </w:pPr>
            <w:r w:rsidRPr="001D628A">
              <w:t>Renewable Energy Credit Sales</w:t>
            </w:r>
          </w:p>
        </w:tc>
        <w:tc>
          <w:tcPr>
            <w:tcW w:w="1050" w:type="dxa"/>
            <w:vAlign w:val="center"/>
          </w:tcPr>
          <w:p w14:paraId="2A075446" w14:textId="77777777" w:rsidR="001D628A" w:rsidRPr="001D628A" w:rsidRDefault="001D628A" w:rsidP="00DA7185">
            <w:pPr>
              <w:keepNext/>
              <w:jc w:val="center"/>
            </w:pPr>
            <w:r w:rsidRPr="001D628A">
              <w:sym w:font="Wingdings" w:char="F0FC"/>
            </w:r>
          </w:p>
        </w:tc>
        <w:tc>
          <w:tcPr>
            <w:tcW w:w="1050" w:type="dxa"/>
            <w:vAlign w:val="center"/>
          </w:tcPr>
          <w:p w14:paraId="7638C277" w14:textId="77777777" w:rsidR="001D628A" w:rsidRPr="001D628A" w:rsidRDefault="001D628A" w:rsidP="00DA7185">
            <w:pPr>
              <w:keepNext/>
              <w:jc w:val="center"/>
            </w:pPr>
          </w:p>
        </w:tc>
        <w:tc>
          <w:tcPr>
            <w:tcW w:w="1050" w:type="dxa"/>
            <w:vAlign w:val="center"/>
          </w:tcPr>
          <w:p w14:paraId="7A89428B" w14:textId="77777777" w:rsidR="001D628A" w:rsidRPr="001D628A" w:rsidRDefault="001D628A" w:rsidP="00DA7185">
            <w:pPr>
              <w:keepNext/>
              <w:jc w:val="center"/>
            </w:pPr>
            <w:r w:rsidRPr="001D628A">
              <w:sym w:font="Wingdings" w:char="F0FC"/>
            </w:r>
          </w:p>
        </w:tc>
      </w:tr>
      <w:tr w:rsidR="001D628A" w:rsidRPr="001D628A" w14:paraId="0CD34A13" w14:textId="77777777" w:rsidTr="00DA7185">
        <w:trPr>
          <w:jc w:val="center"/>
        </w:trPr>
        <w:tc>
          <w:tcPr>
            <w:tcW w:w="4552" w:type="dxa"/>
          </w:tcPr>
          <w:p w14:paraId="42CD98C7" w14:textId="77777777" w:rsidR="001D628A" w:rsidRPr="001D628A" w:rsidRDefault="001D628A" w:rsidP="00DA7185">
            <w:pPr>
              <w:keepNext/>
            </w:pPr>
            <w:r w:rsidRPr="001D628A">
              <w:t>Electric Transmission Capacity Release</w:t>
            </w:r>
          </w:p>
        </w:tc>
        <w:tc>
          <w:tcPr>
            <w:tcW w:w="1050" w:type="dxa"/>
            <w:vAlign w:val="center"/>
          </w:tcPr>
          <w:p w14:paraId="646AE7BA" w14:textId="77777777" w:rsidR="001D628A" w:rsidRPr="001D628A" w:rsidRDefault="001D628A" w:rsidP="00DA7185">
            <w:pPr>
              <w:keepNext/>
              <w:jc w:val="center"/>
            </w:pPr>
          </w:p>
        </w:tc>
        <w:tc>
          <w:tcPr>
            <w:tcW w:w="1050" w:type="dxa"/>
            <w:vAlign w:val="center"/>
          </w:tcPr>
          <w:p w14:paraId="7448B7D0" w14:textId="77777777" w:rsidR="001D628A" w:rsidRPr="001D628A" w:rsidRDefault="001D628A" w:rsidP="00DA7185">
            <w:pPr>
              <w:keepNext/>
              <w:jc w:val="center"/>
            </w:pPr>
          </w:p>
        </w:tc>
        <w:tc>
          <w:tcPr>
            <w:tcW w:w="1050" w:type="dxa"/>
            <w:vAlign w:val="center"/>
          </w:tcPr>
          <w:p w14:paraId="24C0A053" w14:textId="77777777" w:rsidR="001D628A" w:rsidRPr="001D628A" w:rsidRDefault="001D628A" w:rsidP="00DA7185">
            <w:pPr>
              <w:keepNext/>
              <w:jc w:val="center"/>
            </w:pPr>
            <w:r w:rsidRPr="001D628A">
              <w:sym w:font="Wingdings" w:char="F0FC"/>
            </w:r>
          </w:p>
        </w:tc>
      </w:tr>
      <w:tr w:rsidR="001D628A" w:rsidRPr="001D628A" w14:paraId="0D644703" w14:textId="77777777" w:rsidTr="00DA7185">
        <w:trPr>
          <w:jc w:val="center"/>
        </w:trPr>
        <w:tc>
          <w:tcPr>
            <w:tcW w:w="4552" w:type="dxa"/>
          </w:tcPr>
          <w:p w14:paraId="20CD7E0A" w14:textId="77777777" w:rsidR="001D628A" w:rsidRPr="001D628A" w:rsidRDefault="001D628A" w:rsidP="00DA7185">
            <w:pPr>
              <w:keepNext/>
            </w:pPr>
            <w:r w:rsidRPr="001D628A">
              <w:t>Gas Storage Utilization</w:t>
            </w:r>
          </w:p>
        </w:tc>
        <w:tc>
          <w:tcPr>
            <w:tcW w:w="1050" w:type="dxa"/>
            <w:vAlign w:val="center"/>
          </w:tcPr>
          <w:p w14:paraId="066915E3" w14:textId="77777777" w:rsidR="001D628A" w:rsidRPr="001D628A" w:rsidRDefault="001D628A" w:rsidP="00DA7185">
            <w:pPr>
              <w:keepNext/>
              <w:jc w:val="center"/>
            </w:pPr>
            <w:r w:rsidRPr="001D628A">
              <w:sym w:font="Wingdings" w:char="F0FC"/>
            </w:r>
          </w:p>
        </w:tc>
        <w:tc>
          <w:tcPr>
            <w:tcW w:w="1050" w:type="dxa"/>
            <w:vAlign w:val="center"/>
          </w:tcPr>
          <w:p w14:paraId="08794730" w14:textId="77777777" w:rsidR="001D628A" w:rsidRPr="001D628A" w:rsidRDefault="001D628A" w:rsidP="00DA7185">
            <w:pPr>
              <w:keepNext/>
              <w:jc w:val="center"/>
            </w:pPr>
            <w:r w:rsidRPr="001D628A">
              <w:sym w:font="Wingdings" w:char="F0FC"/>
            </w:r>
          </w:p>
        </w:tc>
        <w:tc>
          <w:tcPr>
            <w:tcW w:w="1050" w:type="dxa"/>
            <w:vAlign w:val="center"/>
          </w:tcPr>
          <w:p w14:paraId="2FACA5E0" w14:textId="77777777" w:rsidR="001D628A" w:rsidRPr="001D628A" w:rsidRDefault="001D628A" w:rsidP="00DA7185">
            <w:pPr>
              <w:keepNext/>
              <w:jc w:val="center"/>
            </w:pPr>
            <w:r w:rsidRPr="001D628A">
              <w:sym w:font="Wingdings" w:char="F0FC"/>
            </w:r>
          </w:p>
        </w:tc>
      </w:tr>
      <w:tr w:rsidR="001D628A" w:rsidRPr="001D628A" w14:paraId="1253C167" w14:textId="77777777" w:rsidTr="00DA7185">
        <w:trPr>
          <w:jc w:val="center"/>
        </w:trPr>
        <w:tc>
          <w:tcPr>
            <w:tcW w:w="4552" w:type="dxa"/>
          </w:tcPr>
          <w:p w14:paraId="5B050040" w14:textId="77777777" w:rsidR="001D628A" w:rsidRPr="001D628A" w:rsidRDefault="001D628A" w:rsidP="00DA7185">
            <w:pPr>
              <w:keepNext/>
            </w:pPr>
            <w:r w:rsidRPr="001D628A">
              <w:t>Gas Transportation Capacity Release</w:t>
            </w:r>
          </w:p>
        </w:tc>
        <w:tc>
          <w:tcPr>
            <w:tcW w:w="1050" w:type="dxa"/>
            <w:vAlign w:val="center"/>
          </w:tcPr>
          <w:p w14:paraId="69E77FFF" w14:textId="77777777" w:rsidR="001D628A" w:rsidRPr="001D628A" w:rsidRDefault="001D628A" w:rsidP="00DA7185">
            <w:pPr>
              <w:keepNext/>
              <w:jc w:val="center"/>
            </w:pPr>
            <w:r w:rsidRPr="001D628A">
              <w:sym w:font="Wingdings" w:char="F0FC"/>
            </w:r>
          </w:p>
        </w:tc>
        <w:tc>
          <w:tcPr>
            <w:tcW w:w="1050" w:type="dxa"/>
            <w:vAlign w:val="center"/>
          </w:tcPr>
          <w:p w14:paraId="7126574A" w14:textId="77777777" w:rsidR="001D628A" w:rsidRPr="001D628A" w:rsidRDefault="001D628A" w:rsidP="00DA7185">
            <w:pPr>
              <w:keepNext/>
              <w:jc w:val="center"/>
            </w:pPr>
          </w:p>
        </w:tc>
        <w:tc>
          <w:tcPr>
            <w:tcW w:w="1050" w:type="dxa"/>
            <w:vAlign w:val="center"/>
          </w:tcPr>
          <w:p w14:paraId="66EFA32C" w14:textId="77777777" w:rsidR="001D628A" w:rsidRPr="001D628A" w:rsidRDefault="001D628A" w:rsidP="00DA7185">
            <w:pPr>
              <w:keepNext/>
              <w:jc w:val="center"/>
            </w:pPr>
            <w:r w:rsidRPr="001D628A">
              <w:sym w:font="Wingdings" w:char="F0FC"/>
            </w:r>
          </w:p>
        </w:tc>
      </w:tr>
      <w:tr w:rsidR="001D628A" w:rsidRPr="001D628A" w14:paraId="5A39EDA8" w14:textId="77777777" w:rsidTr="00DA7185">
        <w:trPr>
          <w:jc w:val="center"/>
        </w:trPr>
        <w:tc>
          <w:tcPr>
            <w:tcW w:w="4552" w:type="dxa"/>
          </w:tcPr>
          <w:p w14:paraId="322F4DE8" w14:textId="77777777" w:rsidR="001D628A" w:rsidRPr="001D628A" w:rsidRDefault="001D628A" w:rsidP="00DA7185">
            <w:pPr>
              <w:keepNext/>
            </w:pPr>
            <w:r w:rsidRPr="001D628A">
              <w:t>Gas Delivered using Existing Transport</w:t>
            </w:r>
          </w:p>
        </w:tc>
        <w:tc>
          <w:tcPr>
            <w:tcW w:w="1050" w:type="dxa"/>
            <w:vAlign w:val="center"/>
          </w:tcPr>
          <w:p w14:paraId="5BCC8DAE" w14:textId="77777777" w:rsidR="001D628A" w:rsidRPr="001D628A" w:rsidRDefault="001D628A" w:rsidP="00DA7185">
            <w:pPr>
              <w:keepNext/>
              <w:jc w:val="center"/>
            </w:pPr>
            <w:r w:rsidRPr="001D628A">
              <w:sym w:font="Wingdings" w:char="F0FC"/>
            </w:r>
          </w:p>
        </w:tc>
        <w:tc>
          <w:tcPr>
            <w:tcW w:w="1050" w:type="dxa"/>
            <w:vAlign w:val="center"/>
          </w:tcPr>
          <w:p w14:paraId="5164223A" w14:textId="77777777" w:rsidR="001D628A" w:rsidRPr="001D628A" w:rsidRDefault="001D628A" w:rsidP="00DA7185">
            <w:pPr>
              <w:keepNext/>
              <w:jc w:val="center"/>
            </w:pPr>
            <w:r w:rsidRPr="001D628A">
              <w:sym w:font="Wingdings" w:char="F0FC"/>
            </w:r>
          </w:p>
        </w:tc>
        <w:tc>
          <w:tcPr>
            <w:tcW w:w="1050" w:type="dxa"/>
            <w:vAlign w:val="center"/>
          </w:tcPr>
          <w:p w14:paraId="0981F8FE" w14:textId="77777777" w:rsidR="001D628A" w:rsidRPr="001D628A" w:rsidRDefault="001D628A" w:rsidP="00DA7185">
            <w:pPr>
              <w:keepNext/>
              <w:jc w:val="center"/>
            </w:pPr>
            <w:r w:rsidRPr="001D628A">
              <w:sym w:font="Wingdings" w:char="F0FC"/>
            </w:r>
          </w:p>
        </w:tc>
      </w:tr>
      <w:tr w:rsidR="001D628A" w:rsidRPr="001D628A" w14:paraId="1645DC66" w14:textId="77777777" w:rsidTr="00DA7185">
        <w:trPr>
          <w:jc w:val="center"/>
        </w:trPr>
        <w:tc>
          <w:tcPr>
            <w:tcW w:w="4552" w:type="dxa"/>
          </w:tcPr>
          <w:p w14:paraId="7B5F2782" w14:textId="77777777" w:rsidR="001D628A" w:rsidRPr="001D628A" w:rsidRDefault="001D628A" w:rsidP="00DA7185">
            <w:pPr>
              <w:keepNext/>
            </w:pPr>
            <w:r w:rsidRPr="001D628A">
              <w:t>Gas Sales Production Area (Upstream)</w:t>
            </w:r>
          </w:p>
        </w:tc>
        <w:tc>
          <w:tcPr>
            <w:tcW w:w="1050" w:type="dxa"/>
            <w:vAlign w:val="center"/>
          </w:tcPr>
          <w:p w14:paraId="0C7BB27F" w14:textId="77777777" w:rsidR="001D628A" w:rsidRPr="001D628A" w:rsidRDefault="001D628A" w:rsidP="00DA7185">
            <w:pPr>
              <w:keepNext/>
              <w:jc w:val="center"/>
            </w:pPr>
            <w:r w:rsidRPr="001D628A">
              <w:sym w:font="Wingdings" w:char="F0FC"/>
            </w:r>
          </w:p>
        </w:tc>
        <w:tc>
          <w:tcPr>
            <w:tcW w:w="1050" w:type="dxa"/>
            <w:vAlign w:val="center"/>
          </w:tcPr>
          <w:p w14:paraId="007B66D1" w14:textId="77777777" w:rsidR="001D628A" w:rsidRPr="001D628A" w:rsidRDefault="001D628A" w:rsidP="00DA7185">
            <w:pPr>
              <w:keepNext/>
              <w:jc w:val="center"/>
            </w:pPr>
            <w:r w:rsidRPr="001D628A">
              <w:sym w:font="Wingdings" w:char="F0FC"/>
            </w:r>
          </w:p>
        </w:tc>
        <w:tc>
          <w:tcPr>
            <w:tcW w:w="1050" w:type="dxa"/>
            <w:vAlign w:val="center"/>
          </w:tcPr>
          <w:p w14:paraId="192407A4" w14:textId="77777777" w:rsidR="001D628A" w:rsidRPr="001D628A" w:rsidRDefault="001D628A" w:rsidP="00DA7185">
            <w:pPr>
              <w:keepNext/>
              <w:jc w:val="center"/>
            </w:pPr>
            <w:r w:rsidRPr="001D628A">
              <w:sym w:font="Wingdings" w:char="F0FC"/>
            </w:r>
          </w:p>
        </w:tc>
      </w:tr>
      <w:tr w:rsidR="001D628A" w:rsidRPr="001D628A" w14:paraId="16557844" w14:textId="77777777" w:rsidTr="00DA7185">
        <w:trPr>
          <w:jc w:val="center"/>
        </w:trPr>
        <w:tc>
          <w:tcPr>
            <w:tcW w:w="4552" w:type="dxa"/>
          </w:tcPr>
          <w:p w14:paraId="1124EE6A" w14:textId="77777777" w:rsidR="001D628A" w:rsidRPr="001D628A" w:rsidRDefault="001D628A" w:rsidP="00DA7185">
            <w:pPr>
              <w:keepNext/>
            </w:pPr>
            <w:r w:rsidRPr="001D628A">
              <w:t>Coal Transportation Savings</w:t>
            </w:r>
          </w:p>
        </w:tc>
        <w:tc>
          <w:tcPr>
            <w:tcW w:w="1050" w:type="dxa"/>
            <w:vAlign w:val="center"/>
          </w:tcPr>
          <w:p w14:paraId="50DB20ED" w14:textId="77777777" w:rsidR="001D628A" w:rsidRPr="001D628A" w:rsidRDefault="001D628A" w:rsidP="00DA7185">
            <w:pPr>
              <w:keepNext/>
              <w:jc w:val="center"/>
            </w:pPr>
          </w:p>
        </w:tc>
        <w:tc>
          <w:tcPr>
            <w:tcW w:w="1050" w:type="dxa"/>
            <w:vAlign w:val="center"/>
          </w:tcPr>
          <w:p w14:paraId="018B0014" w14:textId="77777777" w:rsidR="001D628A" w:rsidRPr="001D628A" w:rsidRDefault="001D628A" w:rsidP="00DA7185">
            <w:pPr>
              <w:keepNext/>
              <w:jc w:val="center"/>
            </w:pPr>
          </w:p>
        </w:tc>
        <w:tc>
          <w:tcPr>
            <w:tcW w:w="1050" w:type="dxa"/>
            <w:vAlign w:val="center"/>
          </w:tcPr>
          <w:p w14:paraId="4C8E9E23" w14:textId="77777777" w:rsidR="001D628A" w:rsidRPr="001D628A" w:rsidRDefault="001D628A" w:rsidP="00DA7185">
            <w:pPr>
              <w:keepNext/>
              <w:jc w:val="center"/>
            </w:pPr>
            <w:r w:rsidRPr="001D628A">
              <w:sym w:font="Wingdings" w:char="F0FC"/>
            </w:r>
          </w:p>
        </w:tc>
      </w:tr>
      <w:tr w:rsidR="001D628A" w:rsidRPr="001D628A" w14:paraId="1A8940C9" w14:textId="77777777" w:rsidTr="00DA7185">
        <w:trPr>
          <w:jc w:val="center"/>
        </w:trPr>
        <w:tc>
          <w:tcPr>
            <w:tcW w:w="4552" w:type="dxa"/>
          </w:tcPr>
          <w:p w14:paraId="67F37595" w14:textId="77777777" w:rsidR="001D628A" w:rsidRPr="001D628A" w:rsidRDefault="001D628A" w:rsidP="00DA7185">
            <w:pPr>
              <w:keepNext/>
            </w:pPr>
            <w:r w:rsidRPr="001D628A">
              <w:t>All Fuel Source Supply and Capacity</w:t>
            </w:r>
          </w:p>
        </w:tc>
        <w:tc>
          <w:tcPr>
            <w:tcW w:w="1050" w:type="dxa"/>
            <w:vAlign w:val="center"/>
          </w:tcPr>
          <w:p w14:paraId="01F2CDC4" w14:textId="77777777" w:rsidR="001D628A" w:rsidRPr="001D628A" w:rsidRDefault="001D628A" w:rsidP="00DA7185">
            <w:pPr>
              <w:keepNext/>
              <w:jc w:val="center"/>
            </w:pPr>
            <w:r w:rsidRPr="001D628A">
              <w:sym w:font="Wingdings" w:char="F0FC"/>
            </w:r>
          </w:p>
        </w:tc>
        <w:tc>
          <w:tcPr>
            <w:tcW w:w="1050" w:type="dxa"/>
            <w:vAlign w:val="center"/>
          </w:tcPr>
          <w:p w14:paraId="5ACC9C9D" w14:textId="77777777" w:rsidR="001D628A" w:rsidRPr="001D628A" w:rsidRDefault="001D628A" w:rsidP="00DA7185">
            <w:pPr>
              <w:keepNext/>
              <w:jc w:val="center"/>
            </w:pPr>
          </w:p>
        </w:tc>
        <w:tc>
          <w:tcPr>
            <w:tcW w:w="1050" w:type="dxa"/>
            <w:vAlign w:val="center"/>
          </w:tcPr>
          <w:p w14:paraId="76A106A8" w14:textId="77777777" w:rsidR="001D628A" w:rsidRPr="001D628A" w:rsidRDefault="001D628A" w:rsidP="00DA7185">
            <w:pPr>
              <w:keepNext/>
              <w:jc w:val="center"/>
            </w:pPr>
          </w:p>
        </w:tc>
      </w:tr>
    </w:tbl>
    <w:p w14:paraId="1E872C46" w14:textId="0A495288" w:rsidR="001D628A" w:rsidRPr="001D628A" w:rsidRDefault="001D628A" w:rsidP="00B561A5">
      <w:pPr>
        <w:pStyle w:val="TableSource"/>
        <w:spacing w:after="0"/>
        <w:ind w:firstLine="810"/>
        <w:jc w:val="left"/>
      </w:pPr>
      <w:r w:rsidRPr="00B561A5">
        <w:rPr>
          <w:sz w:val="20"/>
          <w:szCs w:val="20"/>
        </w:rPr>
        <w:t>Source: Response</w:t>
      </w:r>
      <w:r w:rsidR="00B561A5">
        <w:rPr>
          <w:sz w:val="20"/>
          <w:szCs w:val="20"/>
        </w:rPr>
        <w:t>s</w:t>
      </w:r>
      <w:r w:rsidRPr="00B561A5">
        <w:rPr>
          <w:sz w:val="20"/>
          <w:szCs w:val="20"/>
        </w:rPr>
        <w:t xml:space="preserve"> to </w:t>
      </w:r>
      <w:r w:rsidR="00B561A5" w:rsidRPr="00B561A5">
        <w:rPr>
          <w:sz w:val="20"/>
          <w:szCs w:val="20"/>
        </w:rPr>
        <w:t xml:space="preserve">Commission </w:t>
      </w:r>
      <w:r w:rsidRPr="00B561A5">
        <w:rPr>
          <w:sz w:val="20"/>
          <w:szCs w:val="20"/>
        </w:rPr>
        <w:t xml:space="preserve">staff’s </w:t>
      </w:r>
      <w:r w:rsidR="00B561A5">
        <w:rPr>
          <w:sz w:val="20"/>
          <w:szCs w:val="20"/>
        </w:rPr>
        <w:t>F</w:t>
      </w:r>
      <w:r w:rsidRPr="00B561A5">
        <w:rPr>
          <w:sz w:val="20"/>
          <w:szCs w:val="20"/>
        </w:rPr>
        <w:t xml:space="preserve">irst </w:t>
      </w:r>
      <w:r w:rsidR="00B561A5">
        <w:rPr>
          <w:sz w:val="20"/>
          <w:szCs w:val="20"/>
        </w:rPr>
        <w:t>D</w:t>
      </w:r>
      <w:r w:rsidRPr="00B561A5">
        <w:rPr>
          <w:sz w:val="20"/>
          <w:szCs w:val="20"/>
        </w:rPr>
        <w:t xml:space="preserve">ata </w:t>
      </w:r>
      <w:r w:rsidR="00B561A5">
        <w:rPr>
          <w:sz w:val="20"/>
          <w:szCs w:val="20"/>
        </w:rPr>
        <w:t>R</w:t>
      </w:r>
      <w:r w:rsidRPr="00B561A5">
        <w:rPr>
          <w:sz w:val="20"/>
          <w:szCs w:val="20"/>
        </w:rPr>
        <w:t>equest.</w:t>
      </w:r>
      <w:r w:rsidRPr="001D628A">
        <w:rPr>
          <w:rStyle w:val="FootnoteReference"/>
        </w:rPr>
        <w:footnoteReference w:id="6"/>
      </w:r>
    </w:p>
    <w:p w14:paraId="5A933388" w14:textId="77777777" w:rsidR="00B561A5" w:rsidRDefault="00B561A5" w:rsidP="00B561A5">
      <w:pPr>
        <w:jc w:val="both"/>
      </w:pPr>
    </w:p>
    <w:p w14:paraId="42BA3752" w14:textId="0C07D6CF" w:rsidR="001D628A" w:rsidRDefault="001D628A" w:rsidP="00B561A5">
      <w:pPr>
        <w:ind w:firstLine="720"/>
        <w:jc w:val="both"/>
      </w:pPr>
      <w:r w:rsidRPr="001D628A">
        <w:t xml:space="preserve">Similarly, as of 2026, the AOM revenue sharing for each </w:t>
      </w:r>
      <w:r w:rsidR="00B561A5">
        <w:t xml:space="preserve">electric </w:t>
      </w:r>
      <w:r w:rsidRPr="001D628A">
        <w:t xml:space="preserve">IOU differs in the number and level of sharing thresholds, with each having their own sharing percentage. The current and former sharing thresholds for each of the </w:t>
      </w:r>
      <w:r w:rsidR="00B561A5">
        <w:t xml:space="preserve">electric </w:t>
      </w:r>
      <w:r w:rsidRPr="001D628A">
        <w:t>IOUs are reflected in Table 2.</w:t>
      </w:r>
    </w:p>
    <w:p w14:paraId="5C276066" w14:textId="77777777" w:rsidR="00B561A5" w:rsidRPr="001D628A" w:rsidRDefault="00B561A5" w:rsidP="00B561A5">
      <w:pPr>
        <w:jc w:val="both"/>
      </w:pPr>
    </w:p>
    <w:p w14:paraId="7CE91FF9" w14:textId="2F744EE6" w:rsidR="001D628A" w:rsidRPr="001D628A" w:rsidRDefault="001D628A" w:rsidP="00B561A5">
      <w:pPr>
        <w:pStyle w:val="TableNumber"/>
        <w:keepNext/>
        <w:spacing w:before="0"/>
        <w:rPr>
          <w:rFonts w:ascii="Times New Roman" w:hAnsi="Times New Roman"/>
        </w:rPr>
      </w:pPr>
      <w:r w:rsidRPr="001D628A">
        <w:rPr>
          <w:rFonts w:ascii="Times New Roman" w:hAnsi="Times New Roman"/>
        </w:rPr>
        <w:t>Table 2</w:t>
      </w:r>
    </w:p>
    <w:p w14:paraId="167C95D6" w14:textId="77777777" w:rsidR="001D628A" w:rsidRPr="001D628A" w:rsidRDefault="001D628A" w:rsidP="001D628A">
      <w:pPr>
        <w:pStyle w:val="TableTitle"/>
        <w:keepNext/>
        <w:rPr>
          <w:rFonts w:ascii="Times New Roman" w:hAnsi="Times New Roman"/>
        </w:rPr>
      </w:pPr>
      <w:r w:rsidRPr="001D628A">
        <w:rPr>
          <w:rFonts w:ascii="Times New Roman" w:hAnsi="Times New Roman"/>
        </w:rPr>
        <w:t>Asset Optimization Mechanism Thresholds</w:t>
      </w:r>
    </w:p>
    <w:tbl>
      <w:tblPr>
        <w:tblStyle w:val="TableGrid"/>
        <w:tblW w:w="0" w:type="auto"/>
        <w:tblLook w:val="04A0" w:firstRow="1" w:lastRow="0" w:firstColumn="1" w:lastColumn="0" w:noHBand="0" w:noVBand="1"/>
      </w:tblPr>
      <w:tblGrid>
        <w:gridCol w:w="1594"/>
        <w:gridCol w:w="3420"/>
        <w:gridCol w:w="1090"/>
        <w:gridCol w:w="1030"/>
        <w:gridCol w:w="1165"/>
        <w:gridCol w:w="1277"/>
      </w:tblGrid>
      <w:tr w:rsidR="001D628A" w:rsidRPr="001D628A" w14:paraId="2497389F" w14:textId="77777777" w:rsidTr="00DA7185">
        <w:tc>
          <w:tcPr>
            <w:tcW w:w="1594" w:type="dxa"/>
            <w:vMerge w:val="restart"/>
          </w:tcPr>
          <w:p w14:paraId="448CE851" w14:textId="77777777" w:rsidR="001D628A" w:rsidRPr="001D628A" w:rsidRDefault="001D628A" w:rsidP="00DA7185">
            <w:pPr>
              <w:keepNext/>
              <w:jc w:val="center"/>
              <w:rPr>
                <w:b/>
                <w:bCs/>
              </w:rPr>
            </w:pPr>
            <w:r w:rsidRPr="001D628A">
              <w:rPr>
                <w:b/>
                <w:bCs/>
              </w:rPr>
              <w:t>Rate Case Order</w:t>
            </w:r>
          </w:p>
        </w:tc>
        <w:tc>
          <w:tcPr>
            <w:tcW w:w="3420" w:type="dxa"/>
            <w:vMerge w:val="restart"/>
          </w:tcPr>
          <w:p w14:paraId="6CB94064" w14:textId="77777777" w:rsidR="001D628A" w:rsidRPr="001D628A" w:rsidRDefault="001D628A" w:rsidP="00DA7185">
            <w:pPr>
              <w:keepNext/>
              <w:jc w:val="center"/>
              <w:rPr>
                <w:b/>
                <w:bCs/>
              </w:rPr>
            </w:pPr>
            <w:r w:rsidRPr="001D628A">
              <w:rPr>
                <w:b/>
                <w:bCs/>
              </w:rPr>
              <w:t>Threshold Determination Methodology</w:t>
            </w:r>
          </w:p>
        </w:tc>
        <w:tc>
          <w:tcPr>
            <w:tcW w:w="4562" w:type="dxa"/>
            <w:gridSpan w:val="4"/>
          </w:tcPr>
          <w:p w14:paraId="19E83BC9" w14:textId="77777777" w:rsidR="001D628A" w:rsidRPr="001D628A" w:rsidRDefault="001D628A" w:rsidP="00DA7185">
            <w:pPr>
              <w:keepNext/>
              <w:jc w:val="center"/>
              <w:rPr>
                <w:b/>
                <w:bCs/>
              </w:rPr>
            </w:pPr>
            <w:r w:rsidRPr="001D628A">
              <w:rPr>
                <w:b/>
                <w:bCs/>
              </w:rPr>
              <w:t>Percent Shareholder Incentive</w:t>
            </w:r>
          </w:p>
          <w:p w14:paraId="7D4A4071" w14:textId="77777777" w:rsidR="001D628A" w:rsidRPr="001D628A" w:rsidRDefault="001D628A" w:rsidP="00DA7185">
            <w:pPr>
              <w:keepNext/>
              <w:jc w:val="center"/>
              <w:rPr>
                <w:b/>
                <w:bCs/>
              </w:rPr>
            </w:pPr>
            <w:r w:rsidRPr="001D628A">
              <w:rPr>
                <w:b/>
                <w:bCs/>
              </w:rPr>
              <w:t>by Threshold</w:t>
            </w:r>
          </w:p>
        </w:tc>
      </w:tr>
      <w:tr w:rsidR="001D628A" w:rsidRPr="001D628A" w14:paraId="32138C21" w14:textId="77777777" w:rsidTr="00DA7185">
        <w:tc>
          <w:tcPr>
            <w:tcW w:w="1594" w:type="dxa"/>
            <w:vMerge/>
          </w:tcPr>
          <w:p w14:paraId="5863F21E" w14:textId="77777777" w:rsidR="001D628A" w:rsidRPr="001D628A" w:rsidRDefault="001D628A" w:rsidP="00DA7185">
            <w:pPr>
              <w:keepNext/>
              <w:jc w:val="center"/>
              <w:rPr>
                <w:b/>
                <w:bCs/>
              </w:rPr>
            </w:pPr>
          </w:p>
        </w:tc>
        <w:tc>
          <w:tcPr>
            <w:tcW w:w="3420" w:type="dxa"/>
            <w:vMerge/>
          </w:tcPr>
          <w:p w14:paraId="0D4C583F" w14:textId="77777777" w:rsidR="001D628A" w:rsidRPr="001D628A" w:rsidRDefault="001D628A" w:rsidP="00DA7185">
            <w:pPr>
              <w:keepNext/>
              <w:jc w:val="center"/>
              <w:rPr>
                <w:b/>
                <w:bCs/>
              </w:rPr>
            </w:pPr>
          </w:p>
        </w:tc>
        <w:tc>
          <w:tcPr>
            <w:tcW w:w="1090" w:type="dxa"/>
            <w:vAlign w:val="center"/>
          </w:tcPr>
          <w:p w14:paraId="44E21937" w14:textId="77777777" w:rsidR="001D628A" w:rsidRPr="001D628A" w:rsidRDefault="001D628A" w:rsidP="00DA7185">
            <w:pPr>
              <w:keepNext/>
              <w:jc w:val="center"/>
              <w:rPr>
                <w:b/>
                <w:bCs/>
              </w:rPr>
            </w:pPr>
            <w:r w:rsidRPr="001D628A">
              <w:rPr>
                <w:b/>
                <w:bCs/>
              </w:rPr>
              <w:t>0%</w:t>
            </w:r>
          </w:p>
        </w:tc>
        <w:tc>
          <w:tcPr>
            <w:tcW w:w="1030" w:type="dxa"/>
            <w:vAlign w:val="center"/>
          </w:tcPr>
          <w:p w14:paraId="30EE32E4" w14:textId="77777777" w:rsidR="001D628A" w:rsidRPr="001D628A" w:rsidRDefault="001D628A" w:rsidP="00DA7185">
            <w:pPr>
              <w:keepNext/>
              <w:jc w:val="center"/>
              <w:rPr>
                <w:b/>
                <w:bCs/>
              </w:rPr>
            </w:pPr>
            <w:r w:rsidRPr="001D628A">
              <w:rPr>
                <w:b/>
                <w:bCs/>
              </w:rPr>
              <w:t>60%</w:t>
            </w:r>
          </w:p>
        </w:tc>
        <w:tc>
          <w:tcPr>
            <w:tcW w:w="1165" w:type="dxa"/>
            <w:vAlign w:val="center"/>
          </w:tcPr>
          <w:p w14:paraId="3D231B7C" w14:textId="77777777" w:rsidR="001D628A" w:rsidRPr="001D628A" w:rsidRDefault="001D628A" w:rsidP="00DA7185">
            <w:pPr>
              <w:keepNext/>
              <w:jc w:val="center"/>
              <w:rPr>
                <w:b/>
                <w:bCs/>
              </w:rPr>
            </w:pPr>
            <w:r w:rsidRPr="001D628A">
              <w:rPr>
                <w:b/>
                <w:bCs/>
              </w:rPr>
              <w:t>50%</w:t>
            </w:r>
          </w:p>
        </w:tc>
        <w:tc>
          <w:tcPr>
            <w:tcW w:w="1277" w:type="dxa"/>
            <w:vAlign w:val="center"/>
          </w:tcPr>
          <w:p w14:paraId="06E248E7" w14:textId="77777777" w:rsidR="001D628A" w:rsidRPr="001D628A" w:rsidRDefault="001D628A" w:rsidP="00DA7185">
            <w:pPr>
              <w:keepNext/>
              <w:jc w:val="center"/>
              <w:rPr>
                <w:b/>
                <w:bCs/>
              </w:rPr>
            </w:pPr>
            <w:r w:rsidRPr="001D628A">
              <w:rPr>
                <w:b/>
                <w:bCs/>
              </w:rPr>
              <w:t>0%</w:t>
            </w:r>
          </w:p>
        </w:tc>
      </w:tr>
      <w:tr w:rsidR="001D628A" w:rsidRPr="001D628A" w14:paraId="148CBE67" w14:textId="77777777" w:rsidTr="00DA7185">
        <w:tc>
          <w:tcPr>
            <w:tcW w:w="1594" w:type="dxa"/>
          </w:tcPr>
          <w:p w14:paraId="32F38908" w14:textId="77777777" w:rsidR="001D628A" w:rsidRPr="001D628A" w:rsidRDefault="001D628A" w:rsidP="00DA7185">
            <w:pPr>
              <w:keepNext/>
            </w:pPr>
            <w:r w:rsidRPr="001D628A">
              <w:t>FPL 2013</w:t>
            </w:r>
          </w:p>
        </w:tc>
        <w:tc>
          <w:tcPr>
            <w:tcW w:w="3420" w:type="dxa"/>
          </w:tcPr>
          <w:p w14:paraId="43DCD6D7" w14:textId="77777777" w:rsidR="001D628A" w:rsidRPr="001D628A" w:rsidRDefault="001D628A" w:rsidP="00DA7185">
            <w:pPr>
              <w:keepNext/>
            </w:pPr>
            <w:r w:rsidRPr="001D628A">
              <w:t>1st: Projected Savings + $10M</w:t>
            </w:r>
          </w:p>
          <w:p w14:paraId="0A2AD545" w14:textId="77777777" w:rsidR="001D628A" w:rsidRPr="001D628A" w:rsidRDefault="001D628A" w:rsidP="00DA7185">
            <w:pPr>
              <w:keepNext/>
            </w:pPr>
            <w:r w:rsidRPr="001D628A">
              <w:t>2nd: Settlement Negotiations</w:t>
            </w:r>
          </w:p>
        </w:tc>
        <w:tc>
          <w:tcPr>
            <w:tcW w:w="1090" w:type="dxa"/>
          </w:tcPr>
          <w:p w14:paraId="28445F68" w14:textId="77777777" w:rsidR="001D628A" w:rsidRPr="001D628A" w:rsidRDefault="001D628A" w:rsidP="00DA7185">
            <w:pPr>
              <w:keepNext/>
            </w:pPr>
            <w:r w:rsidRPr="001D628A">
              <w:t>$46M</w:t>
            </w:r>
          </w:p>
        </w:tc>
        <w:tc>
          <w:tcPr>
            <w:tcW w:w="1030" w:type="dxa"/>
          </w:tcPr>
          <w:p w14:paraId="620CDA1E" w14:textId="77777777" w:rsidR="001D628A" w:rsidRPr="001D628A" w:rsidRDefault="001D628A" w:rsidP="00DA7185">
            <w:pPr>
              <w:keepNext/>
            </w:pPr>
            <w:r w:rsidRPr="001D628A">
              <w:t>$100M</w:t>
            </w:r>
          </w:p>
        </w:tc>
        <w:tc>
          <w:tcPr>
            <w:tcW w:w="1165" w:type="dxa"/>
          </w:tcPr>
          <w:p w14:paraId="221899BA" w14:textId="77777777" w:rsidR="001D628A" w:rsidRPr="001D628A" w:rsidRDefault="001D628A" w:rsidP="00DA7185">
            <w:pPr>
              <w:keepNext/>
            </w:pPr>
            <w:r w:rsidRPr="001D628A">
              <w:t>&gt;$100M</w:t>
            </w:r>
          </w:p>
        </w:tc>
        <w:tc>
          <w:tcPr>
            <w:tcW w:w="1277" w:type="dxa"/>
          </w:tcPr>
          <w:p w14:paraId="24CE2C78" w14:textId="77777777" w:rsidR="001D628A" w:rsidRPr="001D628A" w:rsidRDefault="001D628A" w:rsidP="00DA7185">
            <w:pPr>
              <w:keepNext/>
            </w:pPr>
            <w:r w:rsidRPr="001D628A">
              <w:t>$46M</w:t>
            </w:r>
          </w:p>
        </w:tc>
      </w:tr>
      <w:tr w:rsidR="001D628A" w:rsidRPr="001D628A" w14:paraId="0CFE31B1" w14:textId="77777777" w:rsidTr="00DA7185">
        <w:tc>
          <w:tcPr>
            <w:tcW w:w="1594" w:type="dxa"/>
          </w:tcPr>
          <w:p w14:paraId="767141D8" w14:textId="77777777" w:rsidR="001D628A" w:rsidRPr="001D628A" w:rsidRDefault="001D628A" w:rsidP="00DA7185">
            <w:pPr>
              <w:keepNext/>
            </w:pPr>
            <w:r w:rsidRPr="001D628A">
              <w:t>FPL 2016</w:t>
            </w:r>
          </w:p>
        </w:tc>
        <w:tc>
          <w:tcPr>
            <w:tcW w:w="3420" w:type="dxa"/>
          </w:tcPr>
          <w:p w14:paraId="71F7DFCC" w14:textId="77777777" w:rsidR="001D628A" w:rsidRPr="001D628A" w:rsidRDefault="001D628A" w:rsidP="00DA7185">
            <w:pPr>
              <w:keepNext/>
            </w:pPr>
            <w:r w:rsidRPr="001D628A">
              <w:t>Settlement Negotiations</w:t>
            </w:r>
          </w:p>
        </w:tc>
        <w:tc>
          <w:tcPr>
            <w:tcW w:w="1090" w:type="dxa"/>
          </w:tcPr>
          <w:p w14:paraId="4D517757" w14:textId="77777777" w:rsidR="001D628A" w:rsidRPr="001D628A" w:rsidRDefault="001D628A" w:rsidP="00DA7185">
            <w:pPr>
              <w:keepNext/>
            </w:pPr>
            <w:r w:rsidRPr="001D628A">
              <w:t>$40M</w:t>
            </w:r>
          </w:p>
        </w:tc>
        <w:tc>
          <w:tcPr>
            <w:tcW w:w="1030" w:type="dxa"/>
          </w:tcPr>
          <w:p w14:paraId="495C238A" w14:textId="77777777" w:rsidR="001D628A" w:rsidRPr="001D628A" w:rsidRDefault="001D628A" w:rsidP="00DA7185">
            <w:pPr>
              <w:keepNext/>
            </w:pPr>
            <w:r w:rsidRPr="001D628A">
              <w:t>$100M</w:t>
            </w:r>
          </w:p>
        </w:tc>
        <w:tc>
          <w:tcPr>
            <w:tcW w:w="1165" w:type="dxa"/>
          </w:tcPr>
          <w:p w14:paraId="6ECC444A" w14:textId="77777777" w:rsidR="001D628A" w:rsidRPr="001D628A" w:rsidRDefault="001D628A" w:rsidP="00DA7185">
            <w:pPr>
              <w:keepNext/>
            </w:pPr>
            <w:r w:rsidRPr="001D628A">
              <w:t>&gt;$100M</w:t>
            </w:r>
          </w:p>
        </w:tc>
        <w:tc>
          <w:tcPr>
            <w:tcW w:w="1277" w:type="dxa"/>
          </w:tcPr>
          <w:p w14:paraId="2D64BEF3" w14:textId="77777777" w:rsidR="001D628A" w:rsidRPr="001D628A" w:rsidRDefault="001D628A" w:rsidP="00DA7185">
            <w:pPr>
              <w:keepNext/>
            </w:pPr>
            <w:r w:rsidRPr="001D628A">
              <w:t>-</w:t>
            </w:r>
          </w:p>
        </w:tc>
      </w:tr>
      <w:tr w:rsidR="001D628A" w:rsidRPr="001D628A" w14:paraId="2AB54F03" w14:textId="77777777" w:rsidTr="00DA7185">
        <w:tc>
          <w:tcPr>
            <w:tcW w:w="1594" w:type="dxa"/>
          </w:tcPr>
          <w:p w14:paraId="0EC51CBC" w14:textId="77777777" w:rsidR="001D628A" w:rsidRPr="001D628A" w:rsidRDefault="001D628A" w:rsidP="00DA7185">
            <w:pPr>
              <w:keepNext/>
            </w:pPr>
            <w:r w:rsidRPr="001D628A">
              <w:t>FPL 2021</w:t>
            </w:r>
          </w:p>
        </w:tc>
        <w:tc>
          <w:tcPr>
            <w:tcW w:w="3420" w:type="dxa"/>
          </w:tcPr>
          <w:p w14:paraId="3AEC0C13" w14:textId="77777777" w:rsidR="001D628A" w:rsidRPr="001D628A" w:rsidRDefault="001D628A" w:rsidP="00DA7185">
            <w:pPr>
              <w:keepNext/>
            </w:pPr>
            <w:r w:rsidRPr="001D628A">
              <w:t>Settlement Negotiations</w:t>
            </w:r>
          </w:p>
        </w:tc>
        <w:tc>
          <w:tcPr>
            <w:tcW w:w="1090" w:type="dxa"/>
          </w:tcPr>
          <w:p w14:paraId="0C97FC16" w14:textId="77777777" w:rsidR="001D628A" w:rsidRPr="001D628A" w:rsidRDefault="001D628A" w:rsidP="00DA7185">
            <w:pPr>
              <w:keepNext/>
            </w:pPr>
            <w:r w:rsidRPr="001D628A">
              <w:t>$42.5M</w:t>
            </w:r>
          </w:p>
        </w:tc>
        <w:tc>
          <w:tcPr>
            <w:tcW w:w="1030" w:type="dxa"/>
          </w:tcPr>
          <w:p w14:paraId="3DAEA0E6" w14:textId="77777777" w:rsidR="001D628A" w:rsidRPr="001D628A" w:rsidRDefault="001D628A" w:rsidP="00DA7185">
            <w:pPr>
              <w:keepNext/>
            </w:pPr>
            <w:r w:rsidRPr="001D628A">
              <w:t>$100M</w:t>
            </w:r>
          </w:p>
        </w:tc>
        <w:tc>
          <w:tcPr>
            <w:tcW w:w="1165" w:type="dxa"/>
          </w:tcPr>
          <w:p w14:paraId="6F5F6747" w14:textId="77777777" w:rsidR="001D628A" w:rsidRPr="001D628A" w:rsidRDefault="001D628A" w:rsidP="00DA7185">
            <w:pPr>
              <w:keepNext/>
            </w:pPr>
            <w:r w:rsidRPr="001D628A">
              <w:t>&gt;$100M</w:t>
            </w:r>
          </w:p>
        </w:tc>
        <w:tc>
          <w:tcPr>
            <w:tcW w:w="1277" w:type="dxa"/>
          </w:tcPr>
          <w:p w14:paraId="3A09F2D3" w14:textId="77777777" w:rsidR="001D628A" w:rsidRPr="001D628A" w:rsidRDefault="001D628A" w:rsidP="00DA7185">
            <w:pPr>
              <w:keepNext/>
            </w:pPr>
            <w:r w:rsidRPr="001D628A">
              <w:t>-</w:t>
            </w:r>
          </w:p>
        </w:tc>
      </w:tr>
      <w:tr w:rsidR="001D628A" w:rsidRPr="001D628A" w14:paraId="054A83BD" w14:textId="77777777" w:rsidTr="00DA7185">
        <w:tc>
          <w:tcPr>
            <w:tcW w:w="1594" w:type="dxa"/>
          </w:tcPr>
          <w:p w14:paraId="08A4EF13" w14:textId="77777777" w:rsidR="001D628A" w:rsidRPr="001D628A" w:rsidRDefault="001D628A" w:rsidP="00DA7185">
            <w:pPr>
              <w:keepNext/>
            </w:pPr>
            <w:r w:rsidRPr="001D628A">
              <w:t>FPL 2025</w:t>
            </w:r>
          </w:p>
        </w:tc>
        <w:tc>
          <w:tcPr>
            <w:tcW w:w="3420" w:type="dxa"/>
          </w:tcPr>
          <w:p w14:paraId="3A745C3B" w14:textId="77777777" w:rsidR="001D628A" w:rsidRPr="001D628A" w:rsidRDefault="001D628A" w:rsidP="00DA7185">
            <w:pPr>
              <w:keepNext/>
            </w:pPr>
            <w:r w:rsidRPr="001D628A">
              <w:t>Settlement Negotiations</w:t>
            </w:r>
          </w:p>
        </w:tc>
        <w:tc>
          <w:tcPr>
            <w:tcW w:w="1090" w:type="dxa"/>
          </w:tcPr>
          <w:p w14:paraId="1D032358" w14:textId="77777777" w:rsidR="001D628A" w:rsidRPr="001D628A" w:rsidRDefault="001D628A" w:rsidP="00DA7185">
            <w:pPr>
              <w:keepNext/>
            </w:pPr>
            <w:r w:rsidRPr="001D628A">
              <w:t>$42.2M</w:t>
            </w:r>
          </w:p>
        </w:tc>
        <w:tc>
          <w:tcPr>
            <w:tcW w:w="1030" w:type="dxa"/>
          </w:tcPr>
          <w:p w14:paraId="1C6FADA1" w14:textId="77777777" w:rsidR="001D628A" w:rsidRPr="001D628A" w:rsidRDefault="001D628A" w:rsidP="00DA7185">
            <w:pPr>
              <w:keepNext/>
            </w:pPr>
            <w:r w:rsidRPr="001D628A">
              <w:t>100M</w:t>
            </w:r>
          </w:p>
        </w:tc>
        <w:tc>
          <w:tcPr>
            <w:tcW w:w="1165" w:type="dxa"/>
          </w:tcPr>
          <w:p w14:paraId="0364B7FC" w14:textId="77777777" w:rsidR="001D628A" w:rsidRPr="001D628A" w:rsidRDefault="001D628A" w:rsidP="00DA7185">
            <w:pPr>
              <w:keepNext/>
            </w:pPr>
            <w:r w:rsidRPr="001D628A">
              <w:t>$150M</w:t>
            </w:r>
          </w:p>
        </w:tc>
        <w:tc>
          <w:tcPr>
            <w:tcW w:w="1277" w:type="dxa"/>
          </w:tcPr>
          <w:p w14:paraId="49F2DE64" w14:textId="77777777" w:rsidR="001D628A" w:rsidRPr="001D628A" w:rsidRDefault="001D628A" w:rsidP="00DA7185">
            <w:pPr>
              <w:keepNext/>
            </w:pPr>
            <w:r w:rsidRPr="001D628A">
              <w:t>&gt;$150M</w:t>
            </w:r>
          </w:p>
        </w:tc>
      </w:tr>
      <w:tr w:rsidR="001D628A" w:rsidRPr="001D628A" w14:paraId="1DE1A492" w14:textId="77777777" w:rsidTr="00DA7185">
        <w:tc>
          <w:tcPr>
            <w:tcW w:w="1594" w:type="dxa"/>
          </w:tcPr>
          <w:p w14:paraId="16ACA23C" w14:textId="77777777" w:rsidR="001D628A" w:rsidRPr="001D628A" w:rsidRDefault="001D628A" w:rsidP="00DA7185">
            <w:pPr>
              <w:keepNext/>
            </w:pPr>
            <w:r w:rsidRPr="001D628A">
              <w:t>DEF 2024</w:t>
            </w:r>
          </w:p>
        </w:tc>
        <w:tc>
          <w:tcPr>
            <w:tcW w:w="3420" w:type="dxa"/>
            <w:vAlign w:val="center"/>
          </w:tcPr>
          <w:p w14:paraId="77D89097" w14:textId="77777777" w:rsidR="001D628A" w:rsidRPr="001D628A" w:rsidRDefault="001D628A" w:rsidP="00DA7185">
            <w:pPr>
              <w:keepNext/>
            </w:pPr>
            <w:r w:rsidRPr="001D628A">
              <w:t>1st: Historic 12 Year Average</w:t>
            </w:r>
          </w:p>
          <w:p w14:paraId="4A2FE4EB" w14:textId="77777777" w:rsidR="001D628A" w:rsidRPr="001D628A" w:rsidRDefault="001D628A" w:rsidP="00DA7185">
            <w:pPr>
              <w:keepNext/>
            </w:pPr>
            <w:r w:rsidRPr="001D628A">
              <w:t>2nd: Double First Threshold</w:t>
            </w:r>
          </w:p>
        </w:tc>
        <w:tc>
          <w:tcPr>
            <w:tcW w:w="1090" w:type="dxa"/>
            <w:vAlign w:val="center"/>
          </w:tcPr>
          <w:p w14:paraId="2A6DF326" w14:textId="77777777" w:rsidR="001D628A" w:rsidRPr="001D628A" w:rsidRDefault="001D628A" w:rsidP="00DA7185">
            <w:pPr>
              <w:keepNext/>
            </w:pPr>
            <w:r w:rsidRPr="001D628A">
              <w:t>$4.9M</w:t>
            </w:r>
          </w:p>
        </w:tc>
        <w:tc>
          <w:tcPr>
            <w:tcW w:w="1030" w:type="dxa"/>
            <w:vAlign w:val="center"/>
          </w:tcPr>
          <w:p w14:paraId="5715C23C" w14:textId="77777777" w:rsidR="001D628A" w:rsidRPr="001D628A" w:rsidRDefault="001D628A" w:rsidP="00DA7185">
            <w:pPr>
              <w:keepNext/>
            </w:pPr>
            <w:r w:rsidRPr="001D628A">
              <w:t>$9.8M</w:t>
            </w:r>
          </w:p>
        </w:tc>
        <w:tc>
          <w:tcPr>
            <w:tcW w:w="1165" w:type="dxa"/>
            <w:vAlign w:val="center"/>
          </w:tcPr>
          <w:p w14:paraId="78C951EF" w14:textId="77777777" w:rsidR="001D628A" w:rsidRPr="001D628A" w:rsidRDefault="001D628A" w:rsidP="00DA7185">
            <w:pPr>
              <w:keepNext/>
            </w:pPr>
            <w:r w:rsidRPr="001D628A">
              <w:t>&gt;$9.8M</w:t>
            </w:r>
          </w:p>
        </w:tc>
        <w:tc>
          <w:tcPr>
            <w:tcW w:w="1277" w:type="dxa"/>
            <w:vAlign w:val="center"/>
          </w:tcPr>
          <w:p w14:paraId="5E592B5E" w14:textId="77777777" w:rsidR="001D628A" w:rsidRPr="001D628A" w:rsidRDefault="001D628A" w:rsidP="00DA7185">
            <w:pPr>
              <w:keepNext/>
            </w:pPr>
            <w:r w:rsidRPr="001D628A">
              <w:t>-</w:t>
            </w:r>
          </w:p>
        </w:tc>
      </w:tr>
      <w:tr w:rsidR="001D628A" w:rsidRPr="001D628A" w14:paraId="04D3FE09" w14:textId="77777777" w:rsidTr="00DA7185">
        <w:tc>
          <w:tcPr>
            <w:tcW w:w="1594" w:type="dxa"/>
          </w:tcPr>
          <w:p w14:paraId="74732C55" w14:textId="77777777" w:rsidR="001D628A" w:rsidRPr="001D628A" w:rsidRDefault="001D628A" w:rsidP="00DA7185">
            <w:pPr>
              <w:keepNext/>
            </w:pPr>
            <w:r w:rsidRPr="001D628A">
              <w:t>TECO 2016</w:t>
            </w:r>
          </w:p>
        </w:tc>
        <w:tc>
          <w:tcPr>
            <w:tcW w:w="3420" w:type="dxa"/>
          </w:tcPr>
          <w:p w14:paraId="0178BB09" w14:textId="77777777" w:rsidR="001D628A" w:rsidRPr="001D628A" w:rsidRDefault="001D628A" w:rsidP="00DA7185">
            <w:pPr>
              <w:keepNext/>
            </w:pPr>
            <w:r w:rsidRPr="001D628A">
              <w:t>1st: Historic 4 Year Avg +$1M</w:t>
            </w:r>
          </w:p>
          <w:p w14:paraId="0FABE904" w14:textId="77777777" w:rsidR="001D628A" w:rsidRPr="001D628A" w:rsidRDefault="001D628A" w:rsidP="00DA7185">
            <w:pPr>
              <w:keepNext/>
            </w:pPr>
            <w:r w:rsidRPr="001D628A">
              <w:t>2nd: Settlement Negotiations</w:t>
            </w:r>
          </w:p>
        </w:tc>
        <w:tc>
          <w:tcPr>
            <w:tcW w:w="1090" w:type="dxa"/>
          </w:tcPr>
          <w:p w14:paraId="51170064" w14:textId="77777777" w:rsidR="001D628A" w:rsidRPr="001D628A" w:rsidRDefault="001D628A" w:rsidP="00DA7185">
            <w:pPr>
              <w:keepNext/>
            </w:pPr>
            <w:r w:rsidRPr="001D628A">
              <w:t>$4.5M</w:t>
            </w:r>
          </w:p>
        </w:tc>
        <w:tc>
          <w:tcPr>
            <w:tcW w:w="1030" w:type="dxa"/>
          </w:tcPr>
          <w:p w14:paraId="7A76DBAC" w14:textId="77777777" w:rsidR="001D628A" w:rsidRPr="001D628A" w:rsidRDefault="001D628A" w:rsidP="00DA7185">
            <w:pPr>
              <w:keepNext/>
            </w:pPr>
            <w:r w:rsidRPr="001D628A">
              <w:t>$8M</w:t>
            </w:r>
          </w:p>
        </w:tc>
        <w:tc>
          <w:tcPr>
            <w:tcW w:w="1165" w:type="dxa"/>
          </w:tcPr>
          <w:p w14:paraId="3CD647D3" w14:textId="77777777" w:rsidR="001D628A" w:rsidRPr="001D628A" w:rsidRDefault="001D628A" w:rsidP="00DA7185">
            <w:pPr>
              <w:keepNext/>
            </w:pPr>
            <w:r w:rsidRPr="001D628A">
              <w:t>&gt;$8M</w:t>
            </w:r>
          </w:p>
        </w:tc>
        <w:tc>
          <w:tcPr>
            <w:tcW w:w="1277" w:type="dxa"/>
          </w:tcPr>
          <w:p w14:paraId="038E4AB0" w14:textId="77777777" w:rsidR="001D628A" w:rsidRPr="001D628A" w:rsidRDefault="001D628A" w:rsidP="00DA7185">
            <w:pPr>
              <w:keepNext/>
            </w:pPr>
            <w:r w:rsidRPr="001D628A">
              <w:t>-</w:t>
            </w:r>
          </w:p>
        </w:tc>
      </w:tr>
      <w:tr w:rsidR="001D628A" w:rsidRPr="001D628A" w14:paraId="0F19B343" w14:textId="77777777" w:rsidTr="00DA7185">
        <w:tc>
          <w:tcPr>
            <w:tcW w:w="1594" w:type="dxa"/>
          </w:tcPr>
          <w:p w14:paraId="53C5464E" w14:textId="77777777" w:rsidR="001D628A" w:rsidRPr="001D628A" w:rsidRDefault="001D628A" w:rsidP="00DA7185">
            <w:pPr>
              <w:keepNext/>
            </w:pPr>
            <w:r w:rsidRPr="001D628A">
              <w:t>TECO 2021</w:t>
            </w:r>
          </w:p>
        </w:tc>
        <w:tc>
          <w:tcPr>
            <w:tcW w:w="3420" w:type="dxa"/>
          </w:tcPr>
          <w:p w14:paraId="52271087" w14:textId="77777777" w:rsidR="001D628A" w:rsidRPr="001D628A" w:rsidRDefault="001D628A" w:rsidP="00DA7185">
            <w:pPr>
              <w:keepNext/>
            </w:pPr>
            <w:r w:rsidRPr="001D628A">
              <w:t>Settlement Negotiations</w:t>
            </w:r>
          </w:p>
        </w:tc>
        <w:tc>
          <w:tcPr>
            <w:tcW w:w="1090" w:type="dxa"/>
          </w:tcPr>
          <w:p w14:paraId="3FB1DDFD" w14:textId="77777777" w:rsidR="001D628A" w:rsidRPr="001D628A" w:rsidRDefault="001D628A" w:rsidP="00DA7185">
            <w:pPr>
              <w:keepNext/>
            </w:pPr>
            <w:r w:rsidRPr="001D628A">
              <w:t>$4.5M</w:t>
            </w:r>
          </w:p>
        </w:tc>
        <w:tc>
          <w:tcPr>
            <w:tcW w:w="1030" w:type="dxa"/>
          </w:tcPr>
          <w:p w14:paraId="259E0FAC" w14:textId="77777777" w:rsidR="001D628A" w:rsidRPr="001D628A" w:rsidRDefault="001D628A" w:rsidP="00DA7185">
            <w:pPr>
              <w:keepNext/>
            </w:pPr>
            <w:r w:rsidRPr="001D628A">
              <w:t>$8M</w:t>
            </w:r>
          </w:p>
        </w:tc>
        <w:tc>
          <w:tcPr>
            <w:tcW w:w="1165" w:type="dxa"/>
          </w:tcPr>
          <w:p w14:paraId="3BCC0E61" w14:textId="77777777" w:rsidR="001D628A" w:rsidRPr="001D628A" w:rsidRDefault="001D628A" w:rsidP="00DA7185">
            <w:pPr>
              <w:keepNext/>
            </w:pPr>
            <w:r w:rsidRPr="001D628A">
              <w:t>&gt;$8M</w:t>
            </w:r>
          </w:p>
        </w:tc>
        <w:tc>
          <w:tcPr>
            <w:tcW w:w="1277" w:type="dxa"/>
          </w:tcPr>
          <w:p w14:paraId="1E50715D" w14:textId="77777777" w:rsidR="001D628A" w:rsidRPr="001D628A" w:rsidRDefault="001D628A" w:rsidP="00DA7185">
            <w:pPr>
              <w:keepNext/>
            </w:pPr>
            <w:r w:rsidRPr="001D628A">
              <w:t>-</w:t>
            </w:r>
          </w:p>
        </w:tc>
      </w:tr>
      <w:tr w:rsidR="001D628A" w:rsidRPr="001D628A" w14:paraId="1B6354D4" w14:textId="77777777" w:rsidTr="00DA7185">
        <w:tc>
          <w:tcPr>
            <w:tcW w:w="1594" w:type="dxa"/>
            <w:vAlign w:val="center"/>
          </w:tcPr>
          <w:p w14:paraId="67FEC6D6" w14:textId="77777777" w:rsidR="001D628A" w:rsidRPr="001D628A" w:rsidRDefault="001D628A" w:rsidP="00DA7185">
            <w:pPr>
              <w:keepNext/>
            </w:pPr>
            <w:r w:rsidRPr="001D628A">
              <w:t>TECO 2025</w:t>
            </w:r>
          </w:p>
        </w:tc>
        <w:tc>
          <w:tcPr>
            <w:tcW w:w="3420" w:type="dxa"/>
            <w:vAlign w:val="center"/>
          </w:tcPr>
          <w:p w14:paraId="341EF41B" w14:textId="77777777" w:rsidR="001D628A" w:rsidRPr="001D628A" w:rsidRDefault="001D628A" w:rsidP="00DA7185">
            <w:pPr>
              <w:keepNext/>
            </w:pPr>
            <w:r w:rsidRPr="001D628A">
              <w:t>Historic Performance</w:t>
            </w:r>
          </w:p>
        </w:tc>
        <w:tc>
          <w:tcPr>
            <w:tcW w:w="1090" w:type="dxa"/>
            <w:vAlign w:val="center"/>
          </w:tcPr>
          <w:p w14:paraId="22878D06" w14:textId="77777777" w:rsidR="001D628A" w:rsidRPr="001D628A" w:rsidRDefault="001D628A" w:rsidP="00DA7185">
            <w:pPr>
              <w:keepNext/>
            </w:pPr>
            <w:r w:rsidRPr="001D628A">
              <w:t>$4.5M</w:t>
            </w:r>
          </w:p>
        </w:tc>
        <w:tc>
          <w:tcPr>
            <w:tcW w:w="1030" w:type="dxa"/>
            <w:vAlign w:val="center"/>
          </w:tcPr>
          <w:p w14:paraId="4539D128" w14:textId="77777777" w:rsidR="001D628A" w:rsidRPr="001D628A" w:rsidRDefault="001D628A" w:rsidP="00DA7185">
            <w:pPr>
              <w:keepNext/>
            </w:pPr>
            <w:r w:rsidRPr="001D628A">
              <w:t>$8M</w:t>
            </w:r>
          </w:p>
        </w:tc>
        <w:tc>
          <w:tcPr>
            <w:tcW w:w="1165" w:type="dxa"/>
            <w:vAlign w:val="center"/>
          </w:tcPr>
          <w:p w14:paraId="5619CB4A" w14:textId="77777777" w:rsidR="001D628A" w:rsidRPr="001D628A" w:rsidRDefault="001D628A" w:rsidP="00DA7185">
            <w:pPr>
              <w:keepNext/>
            </w:pPr>
            <w:r w:rsidRPr="001D628A">
              <w:t>&gt;$8M</w:t>
            </w:r>
          </w:p>
        </w:tc>
        <w:tc>
          <w:tcPr>
            <w:tcW w:w="1277" w:type="dxa"/>
            <w:vAlign w:val="center"/>
          </w:tcPr>
          <w:p w14:paraId="3698B4F8" w14:textId="77777777" w:rsidR="001D628A" w:rsidRPr="001D628A" w:rsidRDefault="001D628A" w:rsidP="00DA7185">
            <w:pPr>
              <w:keepNext/>
            </w:pPr>
            <w:r w:rsidRPr="001D628A">
              <w:t>-</w:t>
            </w:r>
          </w:p>
        </w:tc>
      </w:tr>
    </w:tbl>
    <w:p w14:paraId="4CBA0E79" w14:textId="7211A2AA" w:rsidR="001D628A" w:rsidRDefault="001D628A" w:rsidP="004735E4">
      <w:pPr>
        <w:pStyle w:val="TableSource"/>
        <w:spacing w:after="0"/>
        <w:rPr>
          <w:sz w:val="20"/>
          <w:szCs w:val="20"/>
        </w:rPr>
      </w:pPr>
      <w:r w:rsidRPr="004C19DC">
        <w:rPr>
          <w:sz w:val="20"/>
          <w:szCs w:val="20"/>
        </w:rPr>
        <w:t xml:space="preserve">Source: </w:t>
      </w:r>
      <w:r w:rsidR="00D620DB">
        <w:rPr>
          <w:sz w:val="20"/>
          <w:szCs w:val="20"/>
        </w:rPr>
        <w:t>Prior</w:t>
      </w:r>
      <w:r w:rsidR="00B561A5" w:rsidRPr="004C19DC">
        <w:rPr>
          <w:sz w:val="20"/>
          <w:szCs w:val="20"/>
        </w:rPr>
        <w:t xml:space="preserve"> </w:t>
      </w:r>
      <w:r w:rsidRPr="004C19DC">
        <w:rPr>
          <w:sz w:val="20"/>
          <w:szCs w:val="20"/>
        </w:rPr>
        <w:t xml:space="preserve">Commission </w:t>
      </w:r>
      <w:r w:rsidR="00B561A5" w:rsidRPr="004C19DC">
        <w:rPr>
          <w:sz w:val="20"/>
          <w:szCs w:val="20"/>
        </w:rPr>
        <w:t>o</w:t>
      </w:r>
      <w:r w:rsidRPr="004C19DC">
        <w:rPr>
          <w:sz w:val="20"/>
          <w:szCs w:val="20"/>
        </w:rPr>
        <w:t>rders</w:t>
      </w:r>
      <w:r w:rsidR="00B561A5" w:rsidRPr="004C19DC">
        <w:rPr>
          <w:sz w:val="20"/>
          <w:szCs w:val="20"/>
        </w:rPr>
        <w:t>.</w:t>
      </w:r>
    </w:p>
    <w:p w14:paraId="6A8720CF" w14:textId="77777777" w:rsidR="004735E4" w:rsidRDefault="004735E4" w:rsidP="004735E4">
      <w:pPr>
        <w:pStyle w:val="BodyText"/>
        <w:spacing w:after="0"/>
      </w:pPr>
    </w:p>
    <w:p w14:paraId="0CBDFB0A" w14:textId="77777777" w:rsidR="008D0036" w:rsidRDefault="008D0036" w:rsidP="004735E4">
      <w:pPr>
        <w:pStyle w:val="BodyText"/>
        <w:spacing w:after="0"/>
      </w:pPr>
    </w:p>
    <w:p w14:paraId="1233FEE7" w14:textId="3DD19BA2" w:rsidR="005170F9" w:rsidRPr="004C544E" w:rsidRDefault="008D0036" w:rsidP="004C544E">
      <w:pPr>
        <w:pStyle w:val="BodyText"/>
        <w:numPr>
          <w:ilvl w:val="0"/>
          <w:numId w:val="2"/>
        </w:numPr>
        <w:spacing w:after="0"/>
        <w:rPr>
          <w:b/>
          <w:bCs/>
        </w:rPr>
      </w:pPr>
      <w:r w:rsidRPr="004C544E">
        <w:rPr>
          <w:b/>
          <w:bCs/>
        </w:rPr>
        <w:lastRenderedPageBreak/>
        <w:t xml:space="preserve">Commission </w:t>
      </w:r>
      <w:r w:rsidR="005170F9" w:rsidRPr="004C544E">
        <w:rPr>
          <w:b/>
          <w:bCs/>
        </w:rPr>
        <w:t>Staff</w:t>
      </w:r>
      <w:r w:rsidR="00AD490E">
        <w:rPr>
          <w:b/>
          <w:bCs/>
        </w:rPr>
        <w:t>’s</w:t>
      </w:r>
      <w:r w:rsidR="005170F9" w:rsidRPr="004C544E">
        <w:rPr>
          <w:b/>
          <w:bCs/>
        </w:rPr>
        <w:t xml:space="preserve"> Workshop</w:t>
      </w:r>
    </w:p>
    <w:p w14:paraId="49860387" w14:textId="77777777" w:rsidR="005170F9" w:rsidRDefault="005170F9" w:rsidP="002C4494">
      <w:pPr>
        <w:pStyle w:val="BodyText"/>
        <w:spacing w:after="0"/>
        <w:jc w:val="both"/>
      </w:pPr>
    </w:p>
    <w:p w14:paraId="7FBB5352" w14:textId="77777777" w:rsidR="009D46A5" w:rsidRDefault="005170F9" w:rsidP="002C4494">
      <w:pPr>
        <w:pStyle w:val="BodyText"/>
        <w:spacing w:after="0"/>
        <w:ind w:firstLine="360"/>
        <w:jc w:val="both"/>
      </w:pPr>
      <w:r>
        <w:tab/>
      </w:r>
      <w:r w:rsidR="001D628A" w:rsidRPr="001D628A">
        <w:t xml:space="preserve">On February 5, 2026, </w:t>
      </w:r>
      <w:r w:rsidR="009D46A5">
        <w:t xml:space="preserve">Commission </w:t>
      </w:r>
      <w:r w:rsidR="001D628A" w:rsidRPr="001D628A">
        <w:t xml:space="preserve">staff conducted a workshop to discuss the incentive mechanisms, including GPIF and AOM. To encourage discussion during the workshop, </w:t>
      </w:r>
      <w:r w:rsidR="009D46A5">
        <w:t xml:space="preserve">Commission </w:t>
      </w:r>
      <w:r w:rsidR="001D628A" w:rsidRPr="001D628A">
        <w:t>staff presented a brief history of the AOMs and the following general framework to address the incentive mechanisms, including (1) allowable activities, (2) incremental costs, (3) two revenue sharing proposals, and (4) GPIF</w:t>
      </w:r>
      <w:r w:rsidR="009D46A5">
        <w:t>.</w:t>
      </w:r>
    </w:p>
    <w:p w14:paraId="69D16129" w14:textId="77777777" w:rsidR="009D46A5" w:rsidRDefault="009D46A5" w:rsidP="002C4494">
      <w:pPr>
        <w:pStyle w:val="BodyText"/>
        <w:spacing w:after="0"/>
        <w:jc w:val="both"/>
      </w:pPr>
    </w:p>
    <w:p w14:paraId="616BF64F" w14:textId="3E5A6036" w:rsidR="001D628A" w:rsidRPr="00692F33" w:rsidRDefault="009D46A5" w:rsidP="00692F33">
      <w:pPr>
        <w:pStyle w:val="BodyText"/>
        <w:numPr>
          <w:ilvl w:val="0"/>
          <w:numId w:val="4"/>
        </w:numPr>
        <w:spacing w:after="0"/>
        <w:ind w:left="1440" w:hanging="720"/>
        <w:jc w:val="both"/>
        <w:rPr>
          <w:i/>
          <w:iCs/>
        </w:rPr>
      </w:pPr>
      <w:r w:rsidRPr="00692F33">
        <w:rPr>
          <w:i/>
          <w:iCs/>
        </w:rPr>
        <w:t>Summary of Commission Staff’s Workshop Proposal</w:t>
      </w:r>
    </w:p>
    <w:p w14:paraId="44E4E937" w14:textId="77777777" w:rsidR="009D46A5" w:rsidRPr="009D46A5" w:rsidRDefault="009D46A5" w:rsidP="002C4494">
      <w:pPr>
        <w:pStyle w:val="BodyText"/>
        <w:spacing w:after="0"/>
        <w:jc w:val="both"/>
      </w:pPr>
    </w:p>
    <w:p w14:paraId="309ECFDC" w14:textId="38156A7C" w:rsidR="001D628A" w:rsidRDefault="001D628A" w:rsidP="009D46A5">
      <w:pPr>
        <w:pStyle w:val="BodyText"/>
        <w:spacing w:after="0"/>
        <w:ind w:left="360"/>
        <w:jc w:val="both"/>
      </w:pPr>
      <w:r w:rsidRPr="00592181">
        <w:t>1.</w:t>
      </w:r>
      <w:r w:rsidRPr="00592181">
        <w:tab/>
      </w:r>
      <w:r w:rsidRPr="001D628A">
        <w:rPr>
          <w:b/>
          <w:bCs/>
        </w:rPr>
        <w:t xml:space="preserve">Allowable Activities: </w:t>
      </w:r>
      <w:r w:rsidRPr="001D628A">
        <w:t>Wholesale energy sales, wholesale energy purchases, and any asset optimization activities including existing utility assets that do not interfere with reliability, for all fuel sources, with both fuel infrastructure and stockpiles eligible. Renewable energy credits, emissions credits, or similar attributes would be eligible.</w:t>
      </w:r>
    </w:p>
    <w:p w14:paraId="57E253C6" w14:textId="77777777" w:rsidR="009D46A5" w:rsidRPr="001D628A" w:rsidRDefault="009D46A5" w:rsidP="009D46A5">
      <w:pPr>
        <w:pStyle w:val="BodyText"/>
        <w:spacing w:after="0"/>
        <w:ind w:left="360"/>
        <w:jc w:val="both"/>
      </w:pPr>
    </w:p>
    <w:p w14:paraId="57990356" w14:textId="77777777" w:rsidR="001D628A" w:rsidRDefault="001D628A" w:rsidP="009D46A5">
      <w:pPr>
        <w:pStyle w:val="BodyText"/>
        <w:spacing w:after="0"/>
        <w:ind w:left="360"/>
        <w:jc w:val="both"/>
      </w:pPr>
      <w:r w:rsidRPr="00592181">
        <w:t>2.</w:t>
      </w:r>
      <w:r w:rsidRPr="00592181">
        <w:tab/>
      </w:r>
      <w:r w:rsidRPr="001D628A">
        <w:rPr>
          <w:b/>
          <w:bCs/>
        </w:rPr>
        <w:t>Incremental Costs:</w:t>
      </w:r>
      <w:r w:rsidRPr="001D628A">
        <w:t xml:space="preserve"> Incremental costs associated with AOM activities would be recovered through base rates.</w:t>
      </w:r>
    </w:p>
    <w:p w14:paraId="50C7770B" w14:textId="77777777" w:rsidR="009D46A5" w:rsidRPr="001D628A" w:rsidRDefault="009D46A5" w:rsidP="009D46A5">
      <w:pPr>
        <w:pStyle w:val="BodyText"/>
        <w:spacing w:after="0"/>
        <w:ind w:left="360"/>
        <w:jc w:val="both"/>
      </w:pPr>
    </w:p>
    <w:p w14:paraId="2421E0F9" w14:textId="3B15C75E" w:rsidR="001D628A" w:rsidRDefault="001D628A" w:rsidP="009D46A5">
      <w:pPr>
        <w:pStyle w:val="BodyText"/>
        <w:spacing w:after="0"/>
        <w:ind w:left="360"/>
        <w:jc w:val="both"/>
      </w:pPr>
      <w:r w:rsidRPr="00592181">
        <w:t>3.</w:t>
      </w:r>
      <w:r w:rsidRPr="00592181">
        <w:tab/>
      </w:r>
      <w:r w:rsidRPr="001D628A">
        <w:rPr>
          <w:b/>
          <w:bCs/>
        </w:rPr>
        <w:t xml:space="preserve">Revenue Sharing: </w:t>
      </w:r>
      <w:r w:rsidR="009D46A5">
        <w:t>T</w:t>
      </w:r>
      <w:r w:rsidRPr="001D628A">
        <w:t>wo options for revenue sharing of net gains:</w:t>
      </w:r>
    </w:p>
    <w:p w14:paraId="1209CFA7" w14:textId="77777777" w:rsidR="009D46A5" w:rsidRPr="001D628A" w:rsidRDefault="009D46A5" w:rsidP="009D46A5">
      <w:pPr>
        <w:pStyle w:val="BodyText"/>
        <w:spacing w:after="0"/>
        <w:ind w:left="360"/>
        <w:jc w:val="both"/>
      </w:pPr>
    </w:p>
    <w:p w14:paraId="42C0650F" w14:textId="77777777" w:rsidR="001D628A" w:rsidRDefault="001D628A" w:rsidP="009D46A5">
      <w:pPr>
        <w:pStyle w:val="BodyText"/>
        <w:numPr>
          <w:ilvl w:val="1"/>
          <w:numId w:val="1"/>
        </w:numPr>
        <w:spacing w:after="0"/>
        <w:jc w:val="both"/>
      </w:pPr>
      <w:r w:rsidRPr="001D628A">
        <w:rPr>
          <w:b/>
          <w:bCs/>
        </w:rPr>
        <w:t xml:space="preserve">Option 1: </w:t>
      </w:r>
      <w:r w:rsidRPr="001D628A">
        <w:t>20 percent above a three-year rolling average threshold, and 40 percent above twice the three-year rolling average.</w:t>
      </w:r>
    </w:p>
    <w:p w14:paraId="6A6AC06A" w14:textId="77777777" w:rsidR="009D46A5" w:rsidRPr="001D628A" w:rsidRDefault="009D46A5" w:rsidP="007843C4">
      <w:pPr>
        <w:pStyle w:val="BodyText"/>
        <w:spacing w:after="0"/>
        <w:ind w:left="1080"/>
        <w:jc w:val="both"/>
      </w:pPr>
    </w:p>
    <w:p w14:paraId="69F1B78E" w14:textId="77777777" w:rsidR="001D628A" w:rsidRDefault="001D628A" w:rsidP="009D46A5">
      <w:pPr>
        <w:pStyle w:val="BodyText"/>
        <w:numPr>
          <w:ilvl w:val="1"/>
          <w:numId w:val="1"/>
        </w:numPr>
        <w:spacing w:after="0"/>
        <w:jc w:val="both"/>
      </w:pPr>
      <w:r w:rsidRPr="001D628A">
        <w:rPr>
          <w:b/>
          <w:bCs/>
        </w:rPr>
        <w:t xml:space="preserve">Option 2: </w:t>
      </w:r>
      <w:r w:rsidRPr="001D628A">
        <w:t>30 percent with no thresholds.</w:t>
      </w:r>
    </w:p>
    <w:p w14:paraId="514570A3" w14:textId="77777777" w:rsidR="009D46A5" w:rsidRPr="001D628A" w:rsidRDefault="009D46A5" w:rsidP="009D46A5">
      <w:pPr>
        <w:pStyle w:val="BodyText"/>
        <w:spacing w:after="0"/>
        <w:jc w:val="both"/>
      </w:pPr>
    </w:p>
    <w:p w14:paraId="791BAAE2" w14:textId="57161B8B" w:rsidR="001D628A" w:rsidRDefault="001D628A" w:rsidP="009D46A5">
      <w:pPr>
        <w:pStyle w:val="BodyText"/>
        <w:spacing w:after="0"/>
        <w:ind w:left="360"/>
        <w:jc w:val="both"/>
      </w:pPr>
      <w:r w:rsidRPr="00592181">
        <w:t>4.</w:t>
      </w:r>
      <w:r w:rsidRPr="00592181">
        <w:tab/>
      </w:r>
      <w:r w:rsidRPr="001D628A">
        <w:rPr>
          <w:b/>
          <w:bCs/>
        </w:rPr>
        <w:t>Generating Performance Incentive Factor:</w:t>
      </w:r>
      <w:r w:rsidRPr="001D628A">
        <w:t xml:space="preserve"> While not explicitly addressed in the 2025 TECO Order, </w:t>
      </w:r>
      <w:r w:rsidR="009D46A5">
        <w:t xml:space="preserve">Commission </w:t>
      </w:r>
      <w:r w:rsidRPr="001D628A">
        <w:t xml:space="preserve">staff also proposed ending GPIF in its generic 2026 workshop proposal to address the overlap with AOMs discussed in </w:t>
      </w:r>
      <w:r w:rsidR="007A65C2" w:rsidRPr="007A65C2">
        <w:t>Order No. PSC-13-0665-FOF-E</w:t>
      </w:r>
      <w:r w:rsidR="007A65C2">
        <w:t>I.</w:t>
      </w:r>
      <w:r w:rsidRPr="001D628A">
        <w:t xml:space="preserve"> The proposal to end GPIF was due to the GPIF rewards and penalties not influencing utility behavior, as the efficiency and availability improvements represent best practices. Wholesale sales and purchases are two </w:t>
      </w:r>
      <w:r w:rsidRPr="00C90178">
        <w:t xml:space="preserve">major categories in the AOMs which are impacted by generator availability and efficiency. Furthermore, due to the convergences of the incentives, </w:t>
      </w:r>
      <w:r w:rsidR="007A65C2">
        <w:t xml:space="preserve">Commission </w:t>
      </w:r>
      <w:r w:rsidRPr="00C90178">
        <w:t xml:space="preserve">staff proposed retaining reporting requirements of unit performance to allow </w:t>
      </w:r>
      <w:r w:rsidR="007A65C2">
        <w:t>this</w:t>
      </w:r>
      <w:r w:rsidRPr="00C90178">
        <w:t xml:space="preserve"> Commission and parties to gather information for analysis and review during Fuel Clause and base rate cases.</w:t>
      </w:r>
    </w:p>
    <w:p w14:paraId="410ACD0B" w14:textId="77777777" w:rsidR="009D46A5" w:rsidRDefault="009D46A5" w:rsidP="009D46A5">
      <w:pPr>
        <w:pStyle w:val="BodyText"/>
        <w:spacing w:after="0"/>
        <w:jc w:val="both"/>
      </w:pPr>
    </w:p>
    <w:p w14:paraId="25872DBC" w14:textId="25993AA7" w:rsidR="00123F2B" w:rsidRPr="00592181" w:rsidRDefault="00123F2B" w:rsidP="00592181">
      <w:pPr>
        <w:pStyle w:val="BodyText"/>
        <w:numPr>
          <w:ilvl w:val="0"/>
          <w:numId w:val="2"/>
        </w:numPr>
        <w:spacing w:after="0"/>
        <w:jc w:val="both"/>
        <w:rPr>
          <w:b/>
          <w:bCs/>
        </w:rPr>
      </w:pPr>
      <w:r w:rsidRPr="00592181">
        <w:rPr>
          <w:b/>
          <w:bCs/>
        </w:rPr>
        <w:t>Post-Workshop Comments</w:t>
      </w:r>
    </w:p>
    <w:p w14:paraId="1AA3E088" w14:textId="77777777" w:rsidR="00123F2B" w:rsidRDefault="00123F2B" w:rsidP="00007E6D">
      <w:pPr>
        <w:pStyle w:val="BodyText"/>
        <w:spacing w:after="0"/>
        <w:jc w:val="both"/>
      </w:pPr>
    </w:p>
    <w:p w14:paraId="6F0AF764" w14:textId="03A06949" w:rsidR="001D628A" w:rsidRDefault="001D628A" w:rsidP="00007E6D">
      <w:pPr>
        <w:pStyle w:val="BodyText"/>
        <w:spacing w:after="0"/>
        <w:ind w:firstLine="720"/>
        <w:jc w:val="both"/>
      </w:pPr>
      <w:r w:rsidRPr="001D628A">
        <w:t xml:space="preserve">In addition to the workshop, </w:t>
      </w:r>
      <w:r w:rsidR="00F74828">
        <w:t xml:space="preserve">Commission </w:t>
      </w:r>
      <w:r w:rsidRPr="001D628A">
        <w:t>staff also sought comment from participants on how changes, if any, should be implemented (i.e., a Commission Order similar to the current wholesale sales incentive established in the 2000 Wholesale Sales Incentive Order</w:t>
      </w:r>
      <w:r w:rsidRPr="001D628A">
        <w:rPr>
          <w:rStyle w:val="FootnoteReference"/>
        </w:rPr>
        <w:footnoteReference w:id="7"/>
      </w:r>
      <w:r w:rsidRPr="001D628A">
        <w:t xml:space="preserve"> or rulemaking). After the workshop, each of the </w:t>
      </w:r>
      <w:r w:rsidR="00F74828">
        <w:t xml:space="preserve">electric </w:t>
      </w:r>
      <w:r w:rsidRPr="001D628A">
        <w:t xml:space="preserve">IOUs, OPC, and FL Rising submitted </w:t>
      </w:r>
      <w:r w:rsidRPr="001D628A">
        <w:lastRenderedPageBreak/>
        <w:t xml:space="preserve">comments, which are summarized below. Overall, the </w:t>
      </w:r>
      <w:r w:rsidR="00007E6D">
        <w:t xml:space="preserve">electric </w:t>
      </w:r>
      <w:r w:rsidRPr="001D628A">
        <w:t xml:space="preserve">IOUs commented that no generic incentive mechanism was needed at this time and proposed allowing AOMs to continue based on each utility’s unique characteristics. All three </w:t>
      </w:r>
      <w:r w:rsidR="00007E6D">
        <w:t xml:space="preserve">electric </w:t>
      </w:r>
      <w:r w:rsidRPr="001D628A">
        <w:t xml:space="preserve">IOUs also disagreed with the proposed elimination of </w:t>
      </w:r>
      <w:r w:rsidR="00007E6D">
        <w:t xml:space="preserve">the </w:t>
      </w:r>
      <w:r w:rsidRPr="001D628A">
        <w:t xml:space="preserve">GPIF. In addition, TECO and DEF provided suggestions </w:t>
      </w:r>
      <w:r w:rsidR="00007E6D">
        <w:t xml:space="preserve">for this Commission in case we </w:t>
      </w:r>
      <w:r w:rsidRPr="001D628A">
        <w:t xml:space="preserve">sought to move forward with any part of </w:t>
      </w:r>
      <w:r w:rsidR="00007E6D">
        <w:t xml:space="preserve">Commission </w:t>
      </w:r>
      <w:r w:rsidRPr="001D628A">
        <w:t>staff’s workshop proposal.</w:t>
      </w:r>
      <w:r w:rsidR="00851237">
        <w:t xml:space="preserve"> </w:t>
      </w:r>
      <w:r w:rsidRPr="001D628A">
        <w:t xml:space="preserve">TECO expressed its preference for </w:t>
      </w:r>
      <w:r w:rsidR="00007E6D">
        <w:t xml:space="preserve">Commission </w:t>
      </w:r>
      <w:r w:rsidRPr="001D628A">
        <w:t xml:space="preserve">staff’s proposed list of eligible and revenue sharing </w:t>
      </w:r>
      <w:r w:rsidR="00007E6D">
        <w:t>O</w:t>
      </w:r>
      <w:r w:rsidRPr="001D628A">
        <w:t xml:space="preserve">ption 2. DEF also expressed a preference for </w:t>
      </w:r>
      <w:r w:rsidR="00007E6D">
        <w:t>O</w:t>
      </w:r>
      <w:r w:rsidRPr="001D628A">
        <w:t>ption 2, but with an increased fixed percentage of at least 35 percent.</w:t>
      </w:r>
    </w:p>
    <w:p w14:paraId="3C42EFAA" w14:textId="77777777" w:rsidR="00007E6D" w:rsidRPr="001D628A" w:rsidRDefault="00007E6D" w:rsidP="00851237">
      <w:pPr>
        <w:pStyle w:val="BodyText"/>
        <w:spacing w:after="0"/>
        <w:jc w:val="both"/>
      </w:pPr>
    </w:p>
    <w:p w14:paraId="12C1BC1B" w14:textId="2D8E3112" w:rsidR="001D628A" w:rsidRDefault="001D628A" w:rsidP="00851237">
      <w:pPr>
        <w:pStyle w:val="BodyText"/>
        <w:spacing w:after="0"/>
        <w:ind w:firstLine="720"/>
        <w:jc w:val="both"/>
      </w:pPr>
      <w:r w:rsidRPr="001D628A">
        <w:t>OPC proposed freezing all AOM incentives pending the resolution of appeals associated with Commission Orders addressing the AOMs</w:t>
      </w:r>
      <w:r w:rsidRPr="001D628A">
        <w:rPr>
          <w:rStyle w:val="FootnoteReference"/>
        </w:rPr>
        <w:footnoteReference w:id="8"/>
      </w:r>
      <w:r w:rsidRPr="001D628A">
        <w:t xml:space="preserve"> and the expiration of any applicable settlement agreements. This would be followed by a comprehensive evaluation to determine if the AOMs are resulting in net economic benefit for ratepayers through an evidentiary hearing. OPC further proposed </w:t>
      </w:r>
      <w:r w:rsidR="009E67DE">
        <w:t xml:space="preserve">that we </w:t>
      </w:r>
      <w:r w:rsidRPr="001D628A">
        <w:t xml:space="preserve">consider adopting the concept of joint economic dispatch used in many states. OPC also adopted the comments </w:t>
      </w:r>
      <w:r w:rsidR="009E67DE">
        <w:t>of</w:t>
      </w:r>
      <w:r w:rsidRPr="001D628A">
        <w:t xml:space="preserve"> FL Rising on </w:t>
      </w:r>
      <w:r w:rsidR="009E67DE">
        <w:t xml:space="preserve">Commission </w:t>
      </w:r>
      <w:r w:rsidRPr="001D628A">
        <w:t xml:space="preserve">staff’s workshop proposal and advised against revenue sharing </w:t>
      </w:r>
      <w:r w:rsidR="009E67DE">
        <w:t>O</w:t>
      </w:r>
      <w:r w:rsidRPr="001D628A">
        <w:t>ption 1 and the usage of tiered incentives.</w:t>
      </w:r>
    </w:p>
    <w:p w14:paraId="3514C53D" w14:textId="77777777" w:rsidR="00007E6D" w:rsidRPr="001D628A" w:rsidRDefault="00007E6D" w:rsidP="00007E6D">
      <w:pPr>
        <w:pStyle w:val="BodyText"/>
        <w:spacing w:after="0"/>
        <w:jc w:val="both"/>
      </w:pPr>
    </w:p>
    <w:p w14:paraId="2D5A0631" w14:textId="1F3E8C5E" w:rsidR="001D628A" w:rsidRDefault="001D628A" w:rsidP="009E67DE">
      <w:pPr>
        <w:pStyle w:val="BodyText"/>
        <w:spacing w:after="0"/>
        <w:ind w:firstLine="720"/>
        <w:jc w:val="both"/>
      </w:pPr>
      <w:r w:rsidRPr="001D628A">
        <w:t xml:space="preserve">FL Rising commented that rulemaking is the appropriate venue for changes to end or implement any further AOMs. FL Rising also provided comments regarding </w:t>
      </w:r>
      <w:r w:rsidR="009E67DE">
        <w:t>its</w:t>
      </w:r>
      <w:r w:rsidRPr="001D628A">
        <w:t xml:space="preserve"> analysis of the possible correlation between higher utility bills and the incentive mechanism. Furthermore, FL Rising asserted that AOMs should be subject to constraints to ensure that rate base is not being inflated to support incentive mechanisms that increase utility profits. FL Rising proposed that under any rulemaking the </w:t>
      </w:r>
      <w:r w:rsidR="009E67DE">
        <w:t xml:space="preserve">electric </w:t>
      </w:r>
      <w:r w:rsidRPr="001D628A">
        <w:t xml:space="preserve">IOUs should provide what assets would be in their individual AOMs every three years. During the proposed proceeding the IOUs would have the obligation to show that utility assets utilized for AOMs would: (i) have been prudently added to rate base, (ii) were used and useful for ratepayers, </w:t>
      </w:r>
      <w:r w:rsidR="009E67DE">
        <w:t xml:space="preserve">and </w:t>
      </w:r>
      <w:r w:rsidRPr="001D628A">
        <w:t>(iii) their usage for AOM would be incidental to their service to ratepayers. Further, FL Rising proposed assets that did not require significant activity by the utility would not be eligible for AOMs, using the example of renewable energy credits.</w:t>
      </w:r>
    </w:p>
    <w:p w14:paraId="2FA0F129" w14:textId="77777777" w:rsidR="00007E6D" w:rsidRPr="009E67DE" w:rsidRDefault="00007E6D" w:rsidP="00007E6D">
      <w:pPr>
        <w:pStyle w:val="BodyText"/>
        <w:spacing w:after="0"/>
        <w:jc w:val="both"/>
      </w:pPr>
    </w:p>
    <w:p w14:paraId="18F9A81B" w14:textId="2EC1C85B" w:rsidR="009E67DE" w:rsidRPr="00135EC1" w:rsidRDefault="009E67DE" w:rsidP="00135EC1">
      <w:pPr>
        <w:pStyle w:val="BodyText"/>
        <w:numPr>
          <w:ilvl w:val="0"/>
          <w:numId w:val="2"/>
        </w:numPr>
        <w:spacing w:after="0"/>
        <w:jc w:val="both"/>
        <w:rPr>
          <w:b/>
          <w:bCs/>
        </w:rPr>
      </w:pPr>
      <w:r w:rsidRPr="00135EC1">
        <w:rPr>
          <w:b/>
          <w:bCs/>
        </w:rPr>
        <w:t>Conclusion</w:t>
      </w:r>
    </w:p>
    <w:p w14:paraId="362E982B" w14:textId="77777777" w:rsidR="009E67DE" w:rsidRDefault="009E67DE" w:rsidP="00007E6D">
      <w:pPr>
        <w:pStyle w:val="BodyText"/>
        <w:spacing w:after="0"/>
        <w:jc w:val="both"/>
      </w:pPr>
    </w:p>
    <w:p w14:paraId="799F2D9F" w14:textId="4D026D49" w:rsidR="001D628A" w:rsidRDefault="001D628A" w:rsidP="005774A8">
      <w:pPr>
        <w:pStyle w:val="BodyText"/>
        <w:spacing w:after="0"/>
        <w:ind w:firstLine="720"/>
        <w:jc w:val="both"/>
      </w:pPr>
      <w:r w:rsidRPr="001D628A">
        <w:t xml:space="preserve">Based </w:t>
      </w:r>
      <w:r w:rsidR="00551166">
        <w:t>on</w:t>
      </w:r>
      <w:r w:rsidRPr="001D628A">
        <w:t xml:space="preserve"> </w:t>
      </w:r>
      <w:r w:rsidR="005774A8">
        <w:t>our</w:t>
      </w:r>
      <w:r w:rsidRPr="001D628A">
        <w:t xml:space="preserve"> review of the existing AOMs and comments received at the workshop</w:t>
      </w:r>
      <w:r w:rsidR="005774A8">
        <w:t xml:space="preserve">, there appears to be </w:t>
      </w:r>
      <w:r w:rsidRPr="001D628A">
        <w:t xml:space="preserve">no need at this time to establish all-encompassing standards for AOMs. Both FPL and DEF operate AOMs pursuant to Commission-approved settlement agreements with allowable activities and revenue sharing thresholds based on the characteristics of each utility and the circumstances presented in their respective rate cases. </w:t>
      </w:r>
      <w:r w:rsidR="005774A8">
        <w:t>T</w:t>
      </w:r>
      <w:r w:rsidRPr="001D628A">
        <w:t>he points made in the</w:t>
      </w:r>
      <w:r w:rsidR="005774A8">
        <w:t xml:space="preserve"> electric</w:t>
      </w:r>
      <w:r w:rsidRPr="001D628A">
        <w:t xml:space="preserve"> IOU’s post-workshop submission</w:t>
      </w:r>
      <w:r w:rsidR="005774A8">
        <w:t>s</w:t>
      </w:r>
      <w:r w:rsidRPr="001D628A">
        <w:t xml:space="preserve"> regarding the downsides of a uniform approach as compared to individual mechanisms are well-taken</w:t>
      </w:r>
      <w:r w:rsidR="005774A8">
        <w:t xml:space="preserve"> by us</w:t>
      </w:r>
      <w:r w:rsidRPr="001D628A">
        <w:t>. Additionally, imposing new standards to retroactively alter one term of a settlement agreement that has been approved as a whole by final order may raise procedural and substantive legal issues.</w:t>
      </w:r>
    </w:p>
    <w:p w14:paraId="54EF5535" w14:textId="77777777" w:rsidR="005774A8" w:rsidRPr="001D628A" w:rsidRDefault="005774A8" w:rsidP="005774A8">
      <w:pPr>
        <w:pStyle w:val="BodyText"/>
        <w:spacing w:after="0"/>
        <w:jc w:val="both"/>
      </w:pPr>
    </w:p>
    <w:p w14:paraId="1FFCD665" w14:textId="64861991" w:rsidR="001D628A" w:rsidRPr="001D628A" w:rsidRDefault="004C763D" w:rsidP="00C5451D">
      <w:pPr>
        <w:pStyle w:val="ListParagraph"/>
        <w:ind w:left="0" w:firstLine="720"/>
        <w:jc w:val="both"/>
        <w:rPr>
          <w:rFonts w:ascii="Times New Roman" w:hAnsi="Times New Roman"/>
        </w:rPr>
      </w:pPr>
      <w:r>
        <w:rPr>
          <w:rFonts w:ascii="Times New Roman" w:hAnsi="Times New Roman"/>
        </w:rPr>
        <w:t>T</w:t>
      </w:r>
      <w:r w:rsidR="001D628A" w:rsidRPr="001D628A">
        <w:rPr>
          <w:rFonts w:ascii="Times New Roman" w:hAnsi="Times New Roman"/>
        </w:rPr>
        <w:t xml:space="preserve">he specifics of each current AOM approval underscore the difficulties of considering and implementing revisions to the mechanisms at this time. The 2024 DEF Settlement </w:t>
      </w:r>
      <w:r w:rsidR="001D628A" w:rsidRPr="001D628A">
        <w:rPr>
          <w:rFonts w:ascii="Times New Roman" w:hAnsi="Times New Roman"/>
        </w:rPr>
        <w:lastRenderedPageBreak/>
        <w:t xml:space="preserve">Agreement that contains </w:t>
      </w:r>
      <w:r w:rsidR="00625975">
        <w:rPr>
          <w:rFonts w:ascii="Times New Roman" w:hAnsi="Times New Roman"/>
        </w:rPr>
        <w:t>that</w:t>
      </w:r>
      <w:r w:rsidR="001D628A" w:rsidRPr="001D628A">
        <w:rPr>
          <w:rFonts w:ascii="Times New Roman" w:hAnsi="Times New Roman"/>
        </w:rPr>
        <w:t xml:space="preserve"> utility’s AOM was approved without opposition by Order No. PSC-2024-0472-AS-EI. OPC was a party to the 2024 DEF Settlement Agreement. Florida Rising did not oppose the 2024 DEF Settlement Agreement or the Joint Motion for Approval.</w:t>
      </w:r>
      <w:r w:rsidR="001D628A" w:rsidRPr="001D628A">
        <w:rPr>
          <w:rStyle w:val="FootnoteReference"/>
          <w:rFonts w:ascii="Times New Roman" w:hAnsi="Times New Roman"/>
        </w:rPr>
        <w:footnoteReference w:id="9"/>
      </w:r>
      <w:r w:rsidR="001D628A" w:rsidRPr="001D628A">
        <w:rPr>
          <w:rFonts w:ascii="Times New Roman" w:hAnsi="Times New Roman"/>
        </w:rPr>
        <w:t xml:space="preserve"> The term of the 2024 DEF Settlement Agreement expires as early as December 2027. Because DEF is operating under an unopposed AOM that is part of settlement with a limited term, </w:t>
      </w:r>
      <w:r w:rsidR="00625975">
        <w:rPr>
          <w:rFonts w:ascii="Times New Roman" w:hAnsi="Times New Roman"/>
        </w:rPr>
        <w:t xml:space="preserve">we feel </w:t>
      </w:r>
      <w:r w:rsidR="001D628A" w:rsidRPr="001D628A">
        <w:rPr>
          <w:rFonts w:ascii="Times New Roman" w:hAnsi="Times New Roman"/>
        </w:rPr>
        <w:t xml:space="preserve">that revisiting that </w:t>
      </w:r>
      <w:r w:rsidR="00625975">
        <w:rPr>
          <w:rFonts w:ascii="Times New Roman" w:hAnsi="Times New Roman"/>
        </w:rPr>
        <w:t xml:space="preserve">particular </w:t>
      </w:r>
      <w:r w:rsidR="001D628A" w:rsidRPr="001D628A">
        <w:rPr>
          <w:rFonts w:ascii="Times New Roman" w:hAnsi="Times New Roman"/>
        </w:rPr>
        <w:t>AOM at this time would not be an efficient use of resources.</w:t>
      </w:r>
    </w:p>
    <w:p w14:paraId="1D685D66" w14:textId="77777777" w:rsidR="001D628A" w:rsidRPr="001D628A" w:rsidRDefault="001D628A" w:rsidP="00C5451D">
      <w:pPr>
        <w:pStyle w:val="ListParagraph"/>
        <w:ind w:left="0"/>
        <w:jc w:val="both"/>
        <w:rPr>
          <w:rFonts w:ascii="Times New Roman" w:hAnsi="Times New Roman"/>
        </w:rPr>
      </w:pPr>
    </w:p>
    <w:p w14:paraId="5CDF0A42" w14:textId="42E176E9" w:rsidR="001D628A" w:rsidRDefault="001D628A" w:rsidP="00C5451D">
      <w:pPr>
        <w:pStyle w:val="BodyText"/>
        <w:spacing w:after="0"/>
        <w:ind w:firstLine="720"/>
        <w:jc w:val="both"/>
      </w:pPr>
      <w:r w:rsidRPr="001D628A">
        <w:t xml:space="preserve">Turning to the </w:t>
      </w:r>
      <w:r w:rsidR="00C5451D">
        <w:t>remaining</w:t>
      </w:r>
      <w:r w:rsidRPr="001D628A">
        <w:t xml:space="preserve"> electric IOUs, FPL’s AOM as proposed in its </w:t>
      </w:r>
      <w:r w:rsidR="00C5451D">
        <w:t>s</w:t>
      </w:r>
      <w:r w:rsidRPr="001D628A">
        <w:t xml:space="preserve">ettlement </w:t>
      </w:r>
      <w:r w:rsidR="00C5451D">
        <w:t>a</w:t>
      </w:r>
      <w:r w:rsidRPr="001D628A">
        <w:t>greement was contested by OPC and FL Rising.</w:t>
      </w:r>
      <w:r w:rsidRPr="001D628A">
        <w:rPr>
          <w:rStyle w:val="FootnoteReference"/>
        </w:rPr>
        <w:footnoteReference w:id="10"/>
      </w:r>
      <w:r w:rsidRPr="001D628A">
        <w:t xml:space="preserve"> Both </w:t>
      </w:r>
      <w:r w:rsidR="00C5451D">
        <w:t xml:space="preserve">of those parties </w:t>
      </w:r>
      <w:r w:rsidRPr="001D628A">
        <w:t xml:space="preserve">have filed appeals of </w:t>
      </w:r>
      <w:r w:rsidR="00C5451D">
        <w:t xml:space="preserve">our final order </w:t>
      </w:r>
      <w:r w:rsidRPr="001D628A">
        <w:t xml:space="preserve">approving the </w:t>
      </w:r>
      <w:r w:rsidR="00C5451D">
        <w:t>s</w:t>
      </w:r>
      <w:r w:rsidRPr="001D628A">
        <w:t xml:space="preserve">ettlement </w:t>
      </w:r>
      <w:r w:rsidR="00C5451D">
        <w:t>a</w:t>
      </w:r>
      <w:r w:rsidRPr="001D628A">
        <w:t>greement.</w:t>
      </w:r>
      <w:r w:rsidRPr="001D628A">
        <w:rPr>
          <w:rStyle w:val="FootnoteReference"/>
        </w:rPr>
        <w:footnoteReference w:id="11"/>
      </w:r>
      <w:r w:rsidRPr="001D628A">
        <w:t xml:space="preserve"> Similarly, OPC and FL Rising contested TECO’s AOM as proposed in its rate case.</w:t>
      </w:r>
      <w:r w:rsidRPr="001D628A">
        <w:rPr>
          <w:rStyle w:val="FootnoteReference"/>
        </w:rPr>
        <w:footnoteReference w:id="12"/>
      </w:r>
      <w:r w:rsidRPr="001D628A">
        <w:t xml:space="preserve"> Both have appealed </w:t>
      </w:r>
      <w:r w:rsidR="00094880">
        <w:t xml:space="preserve">certain aspects of our final order approving </w:t>
      </w:r>
      <w:r w:rsidRPr="001D628A">
        <w:t>TECO’s base rate increase.</w:t>
      </w:r>
      <w:r w:rsidRPr="001D628A">
        <w:rPr>
          <w:rStyle w:val="FootnoteReference"/>
        </w:rPr>
        <w:footnoteReference w:id="13"/>
      </w:r>
      <w:r w:rsidRPr="001D628A">
        <w:t xml:space="preserve"> </w:t>
      </w:r>
      <w:r w:rsidR="00094880">
        <w:t xml:space="preserve">These procedural hurdles caution us from taking any </w:t>
      </w:r>
      <w:r w:rsidRPr="001D628A">
        <w:t>further action regarding those AOMs while the two matters are on appeal and the mechanisms remain in place.</w:t>
      </w:r>
    </w:p>
    <w:p w14:paraId="0CC72CEB" w14:textId="77777777" w:rsidR="00C5451D" w:rsidRPr="001D628A" w:rsidRDefault="00C5451D" w:rsidP="00094880">
      <w:pPr>
        <w:pStyle w:val="BodyText"/>
        <w:spacing w:after="0"/>
        <w:jc w:val="both"/>
      </w:pPr>
    </w:p>
    <w:p w14:paraId="73996F9F" w14:textId="69972A6E" w:rsidR="001D628A" w:rsidRDefault="00094880" w:rsidP="00094880">
      <w:pPr>
        <w:pStyle w:val="BodyText"/>
        <w:spacing w:after="0"/>
        <w:ind w:firstLine="720"/>
        <w:jc w:val="both"/>
      </w:pPr>
      <w:r>
        <w:t xml:space="preserve">In addition, we are aware that </w:t>
      </w:r>
      <w:r w:rsidR="001D628A" w:rsidRPr="001D628A">
        <w:t>TECO and OPC have proposed a settlement agreement in a separate docket that, while it does not directly impact AOM, includes a base rate freeze that could have implications if costs were shifted from the AOM established in 2025 to base rates.</w:t>
      </w:r>
      <w:r w:rsidR="001D628A" w:rsidRPr="001D628A">
        <w:rPr>
          <w:rStyle w:val="FootnoteReference"/>
        </w:rPr>
        <w:footnoteReference w:id="14"/>
      </w:r>
      <w:r w:rsidR="001D628A" w:rsidRPr="001D628A">
        <w:t xml:space="preserve"> </w:t>
      </w:r>
    </w:p>
    <w:p w14:paraId="00937FFB" w14:textId="77777777" w:rsidR="00C5451D" w:rsidRPr="001D628A" w:rsidRDefault="00C5451D" w:rsidP="00C5451D">
      <w:pPr>
        <w:pStyle w:val="BodyText"/>
        <w:spacing w:after="0"/>
        <w:jc w:val="both"/>
      </w:pPr>
    </w:p>
    <w:p w14:paraId="256CE021" w14:textId="6502EB97" w:rsidR="001D628A" w:rsidRPr="001D628A" w:rsidRDefault="00FC60BC" w:rsidP="0010703D">
      <w:pPr>
        <w:pStyle w:val="ListParagraph"/>
        <w:ind w:left="0" w:firstLine="720"/>
        <w:jc w:val="both"/>
        <w:rPr>
          <w:rFonts w:ascii="Times New Roman" w:hAnsi="Times New Roman"/>
        </w:rPr>
      </w:pPr>
      <w:r>
        <w:rPr>
          <w:rFonts w:ascii="Times New Roman" w:hAnsi="Times New Roman"/>
        </w:rPr>
        <w:t xml:space="preserve">Because </w:t>
      </w:r>
      <w:r w:rsidR="001D628A" w:rsidRPr="001D628A">
        <w:rPr>
          <w:rFonts w:ascii="Times New Roman" w:hAnsi="Times New Roman"/>
        </w:rPr>
        <w:t xml:space="preserve">the procedural requirements of </w:t>
      </w:r>
      <w:r w:rsidR="0010703D">
        <w:rPr>
          <w:rFonts w:ascii="Times New Roman" w:hAnsi="Times New Roman"/>
        </w:rPr>
        <w:t xml:space="preserve">the </w:t>
      </w:r>
      <w:r w:rsidR="0010703D" w:rsidRPr="0010703D">
        <w:rPr>
          <w:rFonts w:ascii="Times New Roman" w:hAnsi="Times New Roman"/>
        </w:rPr>
        <w:t>2025 TECO Order</w:t>
      </w:r>
      <w:r w:rsidR="001D628A" w:rsidRPr="001D628A">
        <w:rPr>
          <w:rFonts w:ascii="Times New Roman" w:hAnsi="Times New Roman"/>
        </w:rPr>
        <w:t xml:space="preserve"> have been completed</w:t>
      </w:r>
      <w:r>
        <w:rPr>
          <w:rFonts w:ascii="Times New Roman" w:hAnsi="Times New Roman"/>
        </w:rPr>
        <w:t xml:space="preserve">, </w:t>
      </w:r>
      <w:r w:rsidR="001D628A" w:rsidRPr="001D628A">
        <w:rPr>
          <w:rFonts w:ascii="Times New Roman" w:hAnsi="Times New Roman"/>
        </w:rPr>
        <w:t xml:space="preserve">no further action by </w:t>
      </w:r>
      <w:r w:rsidR="0010703D">
        <w:rPr>
          <w:rFonts w:ascii="Times New Roman" w:hAnsi="Times New Roman"/>
        </w:rPr>
        <w:t xml:space="preserve">Commission </w:t>
      </w:r>
      <w:r w:rsidR="001D628A" w:rsidRPr="001D628A">
        <w:rPr>
          <w:rFonts w:ascii="Times New Roman" w:hAnsi="Times New Roman"/>
        </w:rPr>
        <w:t xml:space="preserve">staff or the </w:t>
      </w:r>
      <w:r w:rsidR="0010703D">
        <w:rPr>
          <w:rFonts w:ascii="Times New Roman" w:hAnsi="Times New Roman"/>
        </w:rPr>
        <w:t xml:space="preserve">electric IOUs </w:t>
      </w:r>
      <w:r w:rsidR="001D628A" w:rsidRPr="001D628A">
        <w:rPr>
          <w:rFonts w:ascii="Times New Roman" w:hAnsi="Times New Roman"/>
        </w:rPr>
        <w:t xml:space="preserve">is needed. </w:t>
      </w:r>
      <w:r w:rsidR="00DF249F">
        <w:rPr>
          <w:rFonts w:ascii="Times New Roman" w:hAnsi="Times New Roman"/>
        </w:rPr>
        <w:t>Therefore, this docket shall be closed because we are taking no action</w:t>
      </w:r>
      <w:r w:rsidR="00574D8D">
        <w:rPr>
          <w:rFonts w:ascii="Times New Roman" w:hAnsi="Times New Roman"/>
        </w:rPr>
        <w:t xml:space="preserve"> at this time</w:t>
      </w:r>
      <w:r w:rsidR="00DF249F">
        <w:rPr>
          <w:rFonts w:ascii="Times New Roman" w:hAnsi="Times New Roman"/>
        </w:rPr>
        <w:t xml:space="preserve">. </w:t>
      </w:r>
      <w:r w:rsidR="00574D8D">
        <w:rPr>
          <w:rFonts w:ascii="Times New Roman" w:hAnsi="Times New Roman"/>
        </w:rPr>
        <w:t xml:space="preserve">Our decision here does not preclude us from revisiting the matter later. </w:t>
      </w:r>
      <w:r w:rsidR="00DF249F">
        <w:rPr>
          <w:rFonts w:ascii="Times New Roman" w:hAnsi="Times New Roman"/>
        </w:rPr>
        <w:t>This</w:t>
      </w:r>
      <w:r w:rsidR="001D628A" w:rsidRPr="001D628A">
        <w:rPr>
          <w:rFonts w:ascii="Times New Roman" w:hAnsi="Times New Roman"/>
        </w:rPr>
        <w:t xml:space="preserve"> Commission, </w:t>
      </w:r>
      <w:r w:rsidR="00DF249F">
        <w:rPr>
          <w:rFonts w:ascii="Times New Roman" w:hAnsi="Times New Roman"/>
        </w:rPr>
        <w:t xml:space="preserve">whether </w:t>
      </w:r>
      <w:r w:rsidR="001D628A" w:rsidRPr="001D628A">
        <w:rPr>
          <w:rFonts w:ascii="Times New Roman" w:hAnsi="Times New Roman"/>
        </w:rPr>
        <w:t xml:space="preserve">by petition or </w:t>
      </w:r>
      <w:r w:rsidR="00DF249F">
        <w:rPr>
          <w:rFonts w:ascii="Times New Roman" w:hAnsi="Times New Roman"/>
        </w:rPr>
        <w:t>on</w:t>
      </w:r>
      <w:r w:rsidR="001D628A" w:rsidRPr="001D628A">
        <w:rPr>
          <w:rFonts w:ascii="Times New Roman" w:hAnsi="Times New Roman"/>
        </w:rPr>
        <w:t xml:space="preserve"> its own motion, </w:t>
      </w:r>
      <w:r w:rsidR="00DF249F">
        <w:rPr>
          <w:rFonts w:ascii="Times New Roman" w:hAnsi="Times New Roman"/>
        </w:rPr>
        <w:t xml:space="preserve">can </w:t>
      </w:r>
      <w:r w:rsidR="001D628A" w:rsidRPr="001D628A">
        <w:rPr>
          <w:rFonts w:ascii="Times New Roman" w:hAnsi="Times New Roman"/>
        </w:rPr>
        <w:t xml:space="preserve">convene a future proceeding to review the various shareholder incentive mechanisms for the electric IOUs </w:t>
      </w:r>
      <w:r w:rsidR="002576E3">
        <w:rPr>
          <w:rFonts w:ascii="Times New Roman" w:hAnsi="Times New Roman"/>
        </w:rPr>
        <w:t>when</w:t>
      </w:r>
      <w:r w:rsidR="001D628A" w:rsidRPr="001D628A">
        <w:rPr>
          <w:rFonts w:ascii="Times New Roman" w:hAnsi="Times New Roman"/>
        </w:rPr>
        <w:t xml:space="preserve"> </w:t>
      </w:r>
      <w:r w:rsidR="002576E3">
        <w:rPr>
          <w:rFonts w:ascii="Times New Roman" w:hAnsi="Times New Roman"/>
        </w:rPr>
        <w:t>a need is demonstrated or when deemed appropriate by us.</w:t>
      </w:r>
    </w:p>
    <w:p w14:paraId="37965AB5" w14:textId="77777777" w:rsidR="001D628A" w:rsidRPr="001D628A" w:rsidRDefault="001D628A" w:rsidP="001D628A">
      <w:pPr>
        <w:pStyle w:val="ListParagraph"/>
        <w:ind w:left="0"/>
        <w:jc w:val="both"/>
        <w:rPr>
          <w:rFonts w:ascii="Times New Roman" w:hAnsi="Times New Roman"/>
        </w:rPr>
      </w:pPr>
    </w:p>
    <w:p w14:paraId="07A341A7" w14:textId="1E38BB5D" w:rsidR="005312A5" w:rsidRPr="001D628A" w:rsidRDefault="005312A5" w:rsidP="001D628A">
      <w:pPr>
        <w:pStyle w:val="ListParagraph"/>
        <w:ind w:left="0"/>
        <w:jc w:val="both"/>
        <w:rPr>
          <w:rFonts w:ascii="Times New Roman" w:hAnsi="Times New Roman"/>
          <w:iCs/>
          <w:color w:val="212121"/>
        </w:rPr>
      </w:pPr>
      <w:r w:rsidRPr="001D628A">
        <w:rPr>
          <w:rFonts w:ascii="Times New Roman" w:hAnsi="Times New Roman"/>
          <w:iCs/>
          <w:color w:val="212121"/>
        </w:rPr>
        <w:tab/>
      </w:r>
      <w:r w:rsidR="00DE0DEF">
        <w:rPr>
          <w:rFonts w:ascii="Times New Roman" w:hAnsi="Times New Roman"/>
          <w:iCs/>
          <w:color w:val="212121"/>
        </w:rPr>
        <w:t xml:space="preserve">Based on the foregoing, </w:t>
      </w:r>
      <w:r w:rsidRPr="001D628A">
        <w:rPr>
          <w:rFonts w:ascii="Times New Roman" w:hAnsi="Times New Roman"/>
          <w:iCs/>
          <w:color w:val="212121"/>
        </w:rPr>
        <w:t>it is</w:t>
      </w:r>
    </w:p>
    <w:p w14:paraId="1D1A6A07" w14:textId="77777777" w:rsidR="005312A5" w:rsidRPr="001D628A" w:rsidRDefault="005312A5" w:rsidP="005312A5">
      <w:pPr>
        <w:pStyle w:val="ListParagraph"/>
        <w:ind w:left="0"/>
        <w:jc w:val="both"/>
        <w:rPr>
          <w:rFonts w:ascii="Times New Roman" w:hAnsi="Times New Roman"/>
          <w:iCs/>
          <w:color w:val="212121"/>
        </w:rPr>
      </w:pPr>
    </w:p>
    <w:p w14:paraId="19625787" w14:textId="10E9A986" w:rsidR="005312A5" w:rsidRDefault="005312A5" w:rsidP="005312A5">
      <w:pPr>
        <w:pStyle w:val="ListParagraph"/>
        <w:ind w:left="0"/>
        <w:jc w:val="both"/>
        <w:rPr>
          <w:rFonts w:ascii="Times New Roman" w:hAnsi="Times New Roman"/>
          <w:iCs/>
          <w:color w:val="212121"/>
        </w:rPr>
      </w:pPr>
      <w:r w:rsidRPr="001D628A">
        <w:rPr>
          <w:rFonts w:ascii="Times New Roman" w:hAnsi="Times New Roman"/>
          <w:iCs/>
          <w:color w:val="212121"/>
        </w:rPr>
        <w:tab/>
        <w:t xml:space="preserve">ORDERED by </w:t>
      </w:r>
      <w:r w:rsidR="00DE0DEF">
        <w:rPr>
          <w:rFonts w:ascii="Times New Roman" w:hAnsi="Times New Roman"/>
          <w:iCs/>
          <w:color w:val="212121"/>
        </w:rPr>
        <w:t xml:space="preserve">the Florida Public Service Commission that </w:t>
      </w:r>
      <w:r w:rsidR="00904D9B">
        <w:rPr>
          <w:rFonts w:ascii="Times New Roman" w:hAnsi="Times New Roman"/>
          <w:iCs/>
          <w:color w:val="212121"/>
        </w:rPr>
        <w:t xml:space="preserve">no </w:t>
      </w:r>
      <w:r w:rsidR="00752002">
        <w:rPr>
          <w:rFonts w:ascii="Times New Roman" w:hAnsi="Times New Roman"/>
          <w:iCs/>
          <w:color w:val="212121"/>
        </w:rPr>
        <w:t xml:space="preserve">further </w:t>
      </w:r>
      <w:r w:rsidR="00904D9B">
        <w:rPr>
          <w:rFonts w:ascii="Times New Roman" w:hAnsi="Times New Roman"/>
          <w:iCs/>
          <w:color w:val="212121"/>
        </w:rPr>
        <w:t>action regarding asset optimization activities and revenue-sharing threshold</w:t>
      </w:r>
      <w:r w:rsidR="00752002">
        <w:rPr>
          <w:rFonts w:ascii="Times New Roman" w:hAnsi="Times New Roman"/>
          <w:iCs/>
          <w:color w:val="212121"/>
        </w:rPr>
        <w:t xml:space="preserve">s appears needed at </w:t>
      </w:r>
      <w:r w:rsidR="00904D9B">
        <w:rPr>
          <w:rFonts w:ascii="Times New Roman" w:hAnsi="Times New Roman"/>
          <w:iCs/>
          <w:color w:val="212121"/>
        </w:rPr>
        <w:t xml:space="preserve">this time. </w:t>
      </w:r>
      <w:r w:rsidRPr="00695E65">
        <w:rPr>
          <w:rFonts w:ascii="Times New Roman" w:hAnsi="Times New Roman"/>
          <w:iCs/>
          <w:color w:val="212121"/>
        </w:rPr>
        <w:t>It is further</w:t>
      </w:r>
    </w:p>
    <w:p w14:paraId="62D9EA4D" w14:textId="77777777" w:rsidR="00904D9B" w:rsidRDefault="00904D9B" w:rsidP="005312A5">
      <w:pPr>
        <w:pStyle w:val="ListParagraph"/>
        <w:ind w:left="0"/>
        <w:jc w:val="both"/>
        <w:rPr>
          <w:rFonts w:ascii="Times New Roman" w:hAnsi="Times New Roman"/>
          <w:iCs/>
          <w:color w:val="212121"/>
        </w:rPr>
      </w:pPr>
    </w:p>
    <w:p w14:paraId="28945737" w14:textId="40D06585" w:rsidR="00904D9B" w:rsidRPr="00695E65" w:rsidRDefault="00904D9B" w:rsidP="005312A5">
      <w:pPr>
        <w:pStyle w:val="ListParagraph"/>
        <w:ind w:left="0"/>
        <w:jc w:val="both"/>
        <w:rPr>
          <w:rFonts w:ascii="Times New Roman" w:hAnsi="Times New Roman"/>
          <w:iCs/>
          <w:color w:val="212121"/>
        </w:rPr>
      </w:pPr>
      <w:r>
        <w:rPr>
          <w:rFonts w:ascii="Times New Roman" w:hAnsi="Times New Roman"/>
          <w:iCs/>
          <w:color w:val="212121"/>
        </w:rPr>
        <w:tab/>
        <w:t>ORDERED that this docket shall be closed</w:t>
      </w:r>
      <w:r w:rsidR="00752002">
        <w:rPr>
          <w:rFonts w:ascii="Times New Roman" w:hAnsi="Times New Roman"/>
          <w:iCs/>
          <w:color w:val="212121"/>
        </w:rPr>
        <w:t>.</w:t>
      </w:r>
    </w:p>
    <w:p w14:paraId="77BD732C" w14:textId="77777777" w:rsidR="00695E65" w:rsidRPr="00695E65" w:rsidRDefault="00695E65" w:rsidP="005312A5">
      <w:pPr>
        <w:pStyle w:val="ListParagraph"/>
        <w:ind w:left="0"/>
        <w:jc w:val="both"/>
        <w:rPr>
          <w:rFonts w:ascii="Times New Roman" w:hAnsi="Times New Roman"/>
          <w:iCs/>
          <w:color w:val="212121"/>
        </w:rPr>
      </w:pPr>
    </w:p>
    <w:p w14:paraId="2FA22F67" w14:textId="77F8B090" w:rsidR="005312A5" w:rsidRDefault="005312A5" w:rsidP="005312A5">
      <w:pPr>
        <w:pStyle w:val="ListParagraph"/>
        <w:keepNext/>
        <w:keepLines/>
        <w:ind w:left="0"/>
        <w:jc w:val="both"/>
        <w:rPr>
          <w:rFonts w:ascii="Times New Roman" w:hAnsi="Times New Roman"/>
          <w:iCs/>
          <w:color w:val="212121"/>
        </w:rPr>
      </w:pPr>
      <w:r w:rsidRPr="001D628A">
        <w:rPr>
          <w:rFonts w:ascii="Times New Roman" w:hAnsi="Times New Roman"/>
          <w:iCs/>
          <w:color w:val="212121"/>
        </w:rPr>
        <w:lastRenderedPageBreak/>
        <w:tab/>
        <w:t xml:space="preserve">By ORDER of </w:t>
      </w:r>
      <w:r w:rsidR="00DE0DEF">
        <w:rPr>
          <w:rFonts w:ascii="Times New Roman" w:hAnsi="Times New Roman"/>
          <w:iCs/>
          <w:color w:val="212121"/>
        </w:rPr>
        <w:t xml:space="preserve">the Florida Public Service Commission </w:t>
      </w:r>
      <w:r w:rsidRPr="001D628A">
        <w:rPr>
          <w:rFonts w:ascii="Times New Roman" w:hAnsi="Times New Roman"/>
          <w:iCs/>
          <w:color w:val="212121"/>
        </w:rPr>
        <w:t xml:space="preserve">this </w:t>
      </w:r>
      <w:bookmarkStart w:id="6" w:name="replaceDate"/>
      <w:bookmarkEnd w:id="6"/>
      <w:r w:rsidR="00F10312">
        <w:rPr>
          <w:rFonts w:ascii="Times New Roman" w:hAnsi="Times New Roman"/>
          <w:iCs/>
          <w:color w:val="212121"/>
          <w:u w:val="single"/>
        </w:rPr>
        <w:t>24th</w:t>
      </w:r>
      <w:r w:rsidR="00F10312">
        <w:rPr>
          <w:rFonts w:ascii="Times New Roman" w:hAnsi="Times New Roman"/>
          <w:iCs/>
          <w:color w:val="212121"/>
        </w:rPr>
        <w:t xml:space="preserve"> day of </w:t>
      </w:r>
      <w:r w:rsidR="00F10312">
        <w:rPr>
          <w:rFonts w:ascii="Times New Roman" w:hAnsi="Times New Roman"/>
          <w:iCs/>
          <w:color w:val="212121"/>
          <w:u w:val="single"/>
        </w:rPr>
        <w:t>August</w:t>
      </w:r>
      <w:r w:rsidR="00F10312">
        <w:rPr>
          <w:rFonts w:ascii="Times New Roman" w:hAnsi="Times New Roman"/>
          <w:iCs/>
          <w:color w:val="212121"/>
        </w:rPr>
        <w:t xml:space="preserve">, </w:t>
      </w:r>
      <w:r w:rsidR="00F10312">
        <w:rPr>
          <w:rFonts w:ascii="Times New Roman" w:hAnsi="Times New Roman"/>
          <w:iCs/>
          <w:color w:val="212121"/>
          <w:u w:val="single"/>
        </w:rPr>
        <w:t>2026</w:t>
      </w:r>
      <w:r w:rsidR="00F10312">
        <w:rPr>
          <w:rFonts w:ascii="Times New Roman" w:hAnsi="Times New Roman"/>
          <w:iCs/>
          <w:color w:val="212121"/>
        </w:rPr>
        <w:t>.</w:t>
      </w:r>
    </w:p>
    <w:p w14:paraId="36787B14" w14:textId="77777777" w:rsidR="00F10312" w:rsidRPr="00F10312" w:rsidRDefault="00F10312" w:rsidP="005312A5">
      <w:pPr>
        <w:pStyle w:val="ListParagraph"/>
        <w:keepNext/>
        <w:keepLines/>
        <w:ind w:left="0"/>
        <w:jc w:val="both"/>
        <w:rPr>
          <w:rFonts w:ascii="Times New Roman" w:hAnsi="Times New Roman"/>
          <w:iCs/>
          <w:color w:val="212121"/>
        </w:rPr>
      </w:pPr>
    </w:p>
    <w:p w14:paraId="5A0F4F3A" w14:textId="77777777" w:rsidR="005312A5" w:rsidRPr="001D628A" w:rsidRDefault="005312A5" w:rsidP="005312A5">
      <w:pPr>
        <w:pStyle w:val="ListParagraph"/>
        <w:keepNext/>
        <w:keepLines/>
        <w:ind w:left="0"/>
        <w:jc w:val="both"/>
        <w:rPr>
          <w:rFonts w:ascii="Times New Roman" w:hAnsi="Times New Roman"/>
          <w:iCs/>
          <w:color w:val="212121"/>
        </w:rPr>
      </w:pPr>
    </w:p>
    <w:p w14:paraId="1A639379" w14:textId="77777777" w:rsidR="005312A5" w:rsidRDefault="005312A5" w:rsidP="005312A5">
      <w:pPr>
        <w:pStyle w:val="ListParagraph"/>
        <w:keepNext/>
        <w:keepLines/>
        <w:ind w:left="0"/>
        <w:jc w:val="both"/>
        <w:rPr>
          <w:rFonts w:ascii="Times New Roman" w:hAnsi="Times New Roman"/>
          <w:iCs/>
          <w:color w:val="212121"/>
        </w:rPr>
      </w:pPr>
    </w:p>
    <w:p w14:paraId="5A3381DC" w14:textId="77777777" w:rsidR="00F10312" w:rsidRPr="001D628A" w:rsidRDefault="00F10312" w:rsidP="005312A5">
      <w:pPr>
        <w:pStyle w:val="ListParagraph"/>
        <w:keepNext/>
        <w:keepLines/>
        <w:ind w:left="0"/>
        <w:jc w:val="both"/>
        <w:rPr>
          <w:rFonts w:ascii="Times New Roman" w:hAnsi="Times New Roman"/>
          <w:iCs/>
          <w:color w:val="212121"/>
        </w:rPr>
      </w:pPr>
    </w:p>
    <w:p w14:paraId="7295B521" w14:textId="77777777" w:rsidR="005312A5" w:rsidRPr="001D628A" w:rsidRDefault="005312A5" w:rsidP="005312A5">
      <w:pPr>
        <w:pStyle w:val="ListParagraph"/>
        <w:keepNext/>
        <w:keepLines/>
        <w:ind w:left="0"/>
        <w:jc w:val="both"/>
        <w:rPr>
          <w:rFonts w:ascii="Times New Roman" w:hAnsi="Times New Roman"/>
          <w:iCs/>
          <w:color w:val="212121"/>
        </w:rPr>
      </w:pPr>
    </w:p>
    <w:tbl>
      <w:tblPr>
        <w:tblW w:w="4720" w:type="dxa"/>
        <w:tblInd w:w="3800" w:type="dxa"/>
        <w:tblLayout w:type="fixed"/>
        <w:tblLook w:val="0000" w:firstRow="0" w:lastRow="0" w:firstColumn="0" w:lastColumn="0" w:noHBand="0" w:noVBand="0"/>
      </w:tblPr>
      <w:tblGrid>
        <w:gridCol w:w="686"/>
        <w:gridCol w:w="4034"/>
      </w:tblGrid>
      <w:tr w:rsidR="005312A5" w:rsidRPr="001D628A" w14:paraId="7C16950A" w14:textId="77777777" w:rsidTr="005F33B5">
        <w:tc>
          <w:tcPr>
            <w:tcW w:w="686" w:type="dxa"/>
            <w:shd w:val="clear" w:color="auto" w:fill="auto"/>
          </w:tcPr>
          <w:p w14:paraId="7B39AD0A" w14:textId="77777777" w:rsidR="005312A5" w:rsidRPr="001D628A" w:rsidRDefault="005312A5" w:rsidP="005312A5">
            <w:pPr>
              <w:pStyle w:val="ListParagraph"/>
              <w:keepNext/>
              <w:keepLines/>
              <w:ind w:left="0"/>
              <w:jc w:val="both"/>
              <w:rPr>
                <w:rFonts w:ascii="Times New Roman" w:hAnsi="Times New Roman"/>
                <w:iCs/>
                <w:color w:val="212121"/>
              </w:rPr>
            </w:pPr>
            <w:bookmarkStart w:id="7" w:name="bkmrkSignature" w:colFirst="0" w:colLast="0"/>
          </w:p>
        </w:tc>
        <w:tc>
          <w:tcPr>
            <w:tcW w:w="4034" w:type="dxa"/>
            <w:tcBorders>
              <w:bottom w:val="single" w:sz="4" w:space="0" w:color="auto"/>
            </w:tcBorders>
            <w:shd w:val="clear" w:color="auto" w:fill="auto"/>
          </w:tcPr>
          <w:p w14:paraId="6EB04A12" w14:textId="2A0FC358" w:rsidR="005312A5" w:rsidRPr="001D628A" w:rsidRDefault="00F10312" w:rsidP="005312A5">
            <w:pPr>
              <w:pStyle w:val="ListParagraph"/>
              <w:keepNext/>
              <w:keepLines/>
              <w:ind w:left="0"/>
              <w:jc w:val="both"/>
              <w:rPr>
                <w:rFonts w:ascii="Times New Roman" w:hAnsi="Times New Roman"/>
                <w:iCs/>
                <w:color w:val="212121"/>
              </w:rPr>
            </w:pPr>
            <w:r>
              <w:rPr>
                <w:rFonts w:ascii="Times New Roman" w:hAnsi="Times New Roman"/>
                <w:iCs/>
                <w:color w:val="212121"/>
              </w:rPr>
              <w:t>/s/ Adam J. Teitzman</w:t>
            </w:r>
          </w:p>
        </w:tc>
      </w:tr>
      <w:bookmarkEnd w:id="7"/>
      <w:tr w:rsidR="005F33B5" w14:paraId="03F00279" w14:textId="77777777" w:rsidTr="005F33B5">
        <w:tc>
          <w:tcPr>
            <w:tcW w:w="686" w:type="dxa"/>
            <w:shd w:val="clear" w:color="auto" w:fill="auto"/>
          </w:tcPr>
          <w:p w14:paraId="7B15FEE9" w14:textId="77777777" w:rsidR="005F33B5" w:rsidRDefault="005F33B5" w:rsidP="004125DD">
            <w:pPr>
              <w:pStyle w:val="OrderBody"/>
              <w:keepNext/>
              <w:keepLines/>
            </w:pPr>
          </w:p>
        </w:tc>
        <w:tc>
          <w:tcPr>
            <w:tcW w:w="4034" w:type="dxa"/>
            <w:tcBorders>
              <w:top w:val="single" w:sz="4" w:space="0" w:color="auto"/>
            </w:tcBorders>
            <w:shd w:val="clear" w:color="auto" w:fill="auto"/>
          </w:tcPr>
          <w:p w14:paraId="15E11A99" w14:textId="77777777" w:rsidR="005F33B5" w:rsidRDefault="005F33B5" w:rsidP="004125DD">
            <w:pPr>
              <w:pStyle w:val="OrderBody"/>
              <w:keepNext/>
              <w:keepLines/>
            </w:pPr>
            <w:r>
              <w:t>ADAM TEITZMAN</w:t>
            </w:r>
          </w:p>
          <w:p w14:paraId="77C60D0F" w14:textId="77777777" w:rsidR="005F33B5" w:rsidRDefault="005F33B5" w:rsidP="004125DD">
            <w:pPr>
              <w:pStyle w:val="OrderBody"/>
              <w:keepNext/>
              <w:keepLines/>
            </w:pPr>
            <w:r>
              <w:t>Commission Clerk</w:t>
            </w:r>
          </w:p>
        </w:tc>
      </w:tr>
    </w:tbl>
    <w:p w14:paraId="299B7F8D" w14:textId="77777777" w:rsidR="005F33B5" w:rsidRDefault="005F33B5" w:rsidP="005F33B5">
      <w:pPr>
        <w:pStyle w:val="OrderSigInfo"/>
        <w:keepNext/>
        <w:keepLines/>
      </w:pPr>
      <w:r>
        <w:t>Florida Public Service Commission</w:t>
      </w:r>
    </w:p>
    <w:p w14:paraId="4D79026A" w14:textId="77777777" w:rsidR="005F33B5" w:rsidRDefault="005F33B5" w:rsidP="005F33B5">
      <w:pPr>
        <w:pStyle w:val="OrderSigInfo"/>
        <w:keepNext/>
        <w:keepLines/>
      </w:pPr>
      <w:r>
        <w:t>2540 Shumard Oak Boulevard</w:t>
      </w:r>
    </w:p>
    <w:p w14:paraId="365E6D35" w14:textId="77777777" w:rsidR="005F33B5" w:rsidRDefault="005F33B5" w:rsidP="005F33B5">
      <w:pPr>
        <w:pStyle w:val="OrderSigInfo"/>
        <w:keepNext/>
        <w:keepLines/>
      </w:pPr>
      <w:r>
        <w:t>Tallahassee, Florida 32399</w:t>
      </w:r>
    </w:p>
    <w:p w14:paraId="5F9055C8" w14:textId="77777777" w:rsidR="005F33B5" w:rsidRDefault="005F33B5" w:rsidP="005F33B5">
      <w:pPr>
        <w:pStyle w:val="OrderSigInfo"/>
        <w:keepNext/>
        <w:keepLines/>
      </w:pPr>
      <w:r>
        <w:t>(850) 413</w:t>
      </w:r>
      <w:r>
        <w:noBreakHyphen/>
        <w:t>6770</w:t>
      </w:r>
    </w:p>
    <w:p w14:paraId="3F37B718" w14:textId="77777777" w:rsidR="005F33B5" w:rsidRDefault="005F33B5" w:rsidP="005F33B5">
      <w:pPr>
        <w:pStyle w:val="OrderSigInfo"/>
        <w:keepNext/>
        <w:keepLines/>
      </w:pPr>
      <w:r>
        <w:t>www.floridapsc.com</w:t>
      </w:r>
    </w:p>
    <w:p w14:paraId="5777DA9A" w14:textId="77777777" w:rsidR="005F33B5" w:rsidRDefault="005F33B5" w:rsidP="005F33B5">
      <w:pPr>
        <w:pStyle w:val="OrderSigInfo"/>
        <w:keepNext/>
        <w:keepLines/>
      </w:pPr>
    </w:p>
    <w:p w14:paraId="197E0F30" w14:textId="623A9901" w:rsidR="005312A5" w:rsidRPr="001D628A" w:rsidRDefault="005F33B5" w:rsidP="005F33B5">
      <w:pPr>
        <w:pStyle w:val="OrderSigInfo"/>
        <w:keepNext/>
        <w:keepLines/>
      </w:pPr>
      <w:r>
        <w:t>Copies furnished: A copy of this document is provided to the parties of record at the time of issuance and, if applicable, interested persons.</w:t>
      </w:r>
    </w:p>
    <w:p w14:paraId="6564A42F" w14:textId="58A3A858" w:rsidR="005312A5" w:rsidRPr="001D628A" w:rsidRDefault="005312A5" w:rsidP="005312A5">
      <w:pPr>
        <w:pStyle w:val="OrderBody"/>
        <w:keepNext/>
        <w:keepLines/>
      </w:pPr>
    </w:p>
    <w:p w14:paraId="2CECBD11" w14:textId="77777777" w:rsidR="005312A5" w:rsidRPr="001D628A" w:rsidRDefault="005312A5" w:rsidP="005312A5">
      <w:pPr>
        <w:pStyle w:val="ListParagraph"/>
        <w:keepNext/>
        <w:keepLines/>
        <w:ind w:left="0"/>
        <w:jc w:val="both"/>
        <w:rPr>
          <w:rFonts w:ascii="Times New Roman" w:hAnsi="Times New Roman"/>
          <w:iCs/>
          <w:color w:val="212121"/>
        </w:rPr>
      </w:pPr>
    </w:p>
    <w:p w14:paraId="45AF269B" w14:textId="1A69546B" w:rsidR="005312A5" w:rsidRPr="001D628A" w:rsidRDefault="005312A5" w:rsidP="005312A5">
      <w:pPr>
        <w:pStyle w:val="ListParagraph"/>
        <w:keepNext/>
        <w:keepLines/>
        <w:ind w:left="0"/>
        <w:jc w:val="both"/>
        <w:rPr>
          <w:rFonts w:ascii="Times New Roman" w:hAnsi="Times New Roman"/>
          <w:iCs/>
          <w:color w:val="212121"/>
        </w:rPr>
      </w:pPr>
      <w:r w:rsidRPr="001D628A">
        <w:rPr>
          <w:rFonts w:ascii="Times New Roman" w:hAnsi="Times New Roman"/>
          <w:iCs/>
          <w:color w:val="212121"/>
        </w:rPr>
        <w:t>CMM</w:t>
      </w:r>
    </w:p>
    <w:p w14:paraId="2F7C9737" w14:textId="77777777" w:rsidR="005312A5" w:rsidRPr="001D628A" w:rsidRDefault="005312A5" w:rsidP="005312A5">
      <w:pPr>
        <w:pStyle w:val="ListParagraph"/>
        <w:ind w:left="0"/>
        <w:jc w:val="both"/>
        <w:rPr>
          <w:rFonts w:ascii="Times New Roman" w:hAnsi="Times New Roman"/>
          <w:iCs/>
          <w:color w:val="212121"/>
        </w:rPr>
      </w:pPr>
    </w:p>
    <w:p w14:paraId="7CE9DDDC" w14:textId="77777777" w:rsidR="005312A5" w:rsidRPr="001D628A" w:rsidRDefault="005312A5" w:rsidP="005312A5">
      <w:pPr>
        <w:pStyle w:val="ListParagraph"/>
        <w:ind w:left="0"/>
        <w:jc w:val="both"/>
        <w:rPr>
          <w:rFonts w:ascii="Times New Roman" w:hAnsi="Times New Roman"/>
          <w:iCs/>
          <w:color w:val="212121"/>
        </w:rPr>
      </w:pPr>
    </w:p>
    <w:p w14:paraId="6B2B8814" w14:textId="77777777" w:rsidR="005312A5" w:rsidRPr="001D628A" w:rsidRDefault="005312A5" w:rsidP="005312A5">
      <w:pPr>
        <w:pStyle w:val="ListParagraph"/>
        <w:ind w:left="0"/>
        <w:jc w:val="both"/>
        <w:rPr>
          <w:rFonts w:ascii="Times New Roman" w:hAnsi="Times New Roman"/>
          <w:iCs/>
          <w:color w:val="212121"/>
        </w:rPr>
      </w:pPr>
    </w:p>
    <w:p w14:paraId="6CB4A4D3" w14:textId="51A615B7" w:rsidR="005312A5" w:rsidRPr="001D628A" w:rsidRDefault="005312A5">
      <w:pPr>
        <w:rPr>
          <w:rFonts w:eastAsia="Calibri"/>
          <w:iCs/>
          <w:color w:val="212121"/>
        </w:rPr>
      </w:pPr>
    </w:p>
    <w:p w14:paraId="037D0429" w14:textId="77777777" w:rsidR="005312A5" w:rsidRPr="001D628A" w:rsidRDefault="005312A5" w:rsidP="005312A5">
      <w:pPr>
        <w:pStyle w:val="CenterUnderline"/>
      </w:pPr>
      <w:r w:rsidRPr="001D628A">
        <w:t>NOTICE OF FURTHER PROCEEDINGS OR JUDICIAL REVIEW</w:t>
      </w:r>
    </w:p>
    <w:p w14:paraId="7FF57E6C" w14:textId="080002ED" w:rsidR="005312A5" w:rsidRPr="001D628A" w:rsidRDefault="005312A5" w:rsidP="005312A5">
      <w:pPr>
        <w:pStyle w:val="CenterUnderline"/>
      </w:pPr>
    </w:p>
    <w:p w14:paraId="6FB0C8C8" w14:textId="2DF72BBE" w:rsidR="005312A5" w:rsidRPr="001D628A" w:rsidRDefault="005312A5" w:rsidP="005312A5">
      <w:pPr>
        <w:pStyle w:val="OrderBody"/>
      </w:pPr>
      <w:r w:rsidRPr="001D628A">
        <w:tab/>
        <w:t xml:space="preserve">The Florida Public Service Commission </w:t>
      </w:r>
      <w:r w:rsidR="00D07EC9">
        <w:t xml:space="preserve">(Commission) </w:t>
      </w:r>
      <w:r w:rsidRPr="001D628A">
        <w:t>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14:paraId="440F97B5" w14:textId="77777777" w:rsidR="005312A5" w:rsidRPr="001D628A" w:rsidRDefault="005312A5" w:rsidP="005312A5">
      <w:pPr>
        <w:pStyle w:val="OrderBody"/>
      </w:pPr>
    </w:p>
    <w:p w14:paraId="05B9017A" w14:textId="77777777" w:rsidR="005312A5" w:rsidRPr="001D628A" w:rsidRDefault="005312A5" w:rsidP="005312A5">
      <w:pPr>
        <w:pStyle w:val="OrderBody"/>
      </w:pPr>
      <w:r w:rsidRPr="001D628A">
        <w:tab/>
        <w:t>Mediation may be available on a case-by-case basis.  If mediation is conducted, it does not affect a substantially interested person's right to a hearing.</w:t>
      </w:r>
    </w:p>
    <w:p w14:paraId="62E98D8E" w14:textId="77777777" w:rsidR="005312A5" w:rsidRPr="001D628A" w:rsidRDefault="005312A5" w:rsidP="005312A5">
      <w:pPr>
        <w:pStyle w:val="OrderBody"/>
      </w:pPr>
    </w:p>
    <w:p w14:paraId="434BA4A6" w14:textId="60F84C01" w:rsidR="005312A5" w:rsidRPr="001D628A" w:rsidRDefault="005312A5" w:rsidP="005312A5">
      <w:pPr>
        <w:pStyle w:val="OrderBody"/>
      </w:pPr>
      <w:r w:rsidRPr="001D628A">
        <w:tab/>
        <w:t>Any party adversely affected by this order, which is preliminary, procedural</w:t>
      </w:r>
      <w:r w:rsidR="00D07EC9">
        <w:t>,</w:t>
      </w:r>
      <w:r w:rsidRPr="001D628A">
        <w:t xml:space="preserve"> or intermediate in nature, may request: (1) reconsideration within 10 days pursuant to Rule 25-22.0376, Florida Administrative Code; or (2) judicial review by the Florida Supreme Court, in the case of an electric, gas</w:t>
      </w:r>
      <w:r w:rsidR="00D07EC9">
        <w:t>,</w:t>
      </w:r>
      <w:r w:rsidRPr="001D628A">
        <w:t xml:space="preserve"> or telephone utility. A motion for reconsideration shall be filed with the Office of Commission Clerk, in the form prescribed by Rule 25-22.0376, Florida Administrative Code. Judicial review of a preliminary, procedural</w:t>
      </w:r>
      <w:r w:rsidR="00D07EC9">
        <w:t>,</w:t>
      </w:r>
      <w:r w:rsidRPr="001D628A">
        <w:t xml:space="preserve"> or intermediate ruling or order is available if review of the final action will not provide an adequate remedy. Such review may be requested from the appropriate court, as described above, pursuant to Rule 9.100, Florida Rules of Appellate Procedure.</w:t>
      </w:r>
    </w:p>
    <w:sectPr w:rsidR="005312A5" w:rsidRPr="001D628A">
      <w:headerReference w:type="default" r:id="rId7"/>
      <w:footerReference w:type="first" r:id="rId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B1A3F4" w14:textId="77777777" w:rsidR="005312A5" w:rsidRDefault="005312A5">
      <w:r>
        <w:separator/>
      </w:r>
    </w:p>
  </w:endnote>
  <w:endnote w:type="continuationSeparator" w:id="0">
    <w:p w14:paraId="35876772" w14:textId="77777777" w:rsidR="005312A5" w:rsidRDefault="005312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7AB18" w14:textId="77777777" w:rsidR="00FA6EFD" w:rsidRDefault="00FA6EFD">
    <w:pPr>
      <w:pStyle w:val="Footer"/>
    </w:pPr>
  </w:p>
  <w:p w14:paraId="3B7B9E72" w14:textId="77777777"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069450" w14:textId="77777777" w:rsidR="005312A5" w:rsidRDefault="005312A5">
      <w:r>
        <w:separator/>
      </w:r>
    </w:p>
  </w:footnote>
  <w:footnote w:type="continuationSeparator" w:id="0">
    <w:p w14:paraId="4230EF8F" w14:textId="77777777" w:rsidR="005312A5" w:rsidRDefault="005312A5">
      <w:r>
        <w:continuationSeparator/>
      </w:r>
    </w:p>
  </w:footnote>
  <w:footnote w:id="1">
    <w:p w14:paraId="6B80ADBE" w14:textId="10481D45" w:rsidR="001D628A" w:rsidRDefault="001D628A" w:rsidP="001D628A">
      <w:pPr>
        <w:pStyle w:val="FootnoteText"/>
      </w:pPr>
      <w:r>
        <w:rPr>
          <w:rStyle w:val="FootnoteReference"/>
        </w:rPr>
        <w:footnoteRef/>
      </w:r>
      <w:r>
        <w:t xml:space="preserve"> </w:t>
      </w:r>
      <w:r w:rsidRPr="00CA6D35">
        <w:rPr>
          <w:i/>
          <w:iCs/>
        </w:rPr>
        <w:t>See</w:t>
      </w:r>
      <w:r w:rsidRPr="00390D88">
        <w:t xml:space="preserve"> </w:t>
      </w:r>
      <w:r>
        <w:t xml:space="preserve">Order No. PSC-2025-0038-FOF-EI, issued February 3, 2025, in Docket No. 20240026-EI, </w:t>
      </w:r>
      <w:r w:rsidRPr="00641DCB">
        <w:rPr>
          <w:i/>
          <w:iCs/>
        </w:rPr>
        <w:t>In re: Petition for rate increase by Tampa Electric Company</w:t>
      </w:r>
      <w:r w:rsidR="00CA6D35">
        <w:t>, pp. 176–77.</w:t>
      </w:r>
    </w:p>
  </w:footnote>
  <w:footnote w:id="2">
    <w:p w14:paraId="74440EE8" w14:textId="50AA154A" w:rsidR="001D628A" w:rsidRDefault="001D628A" w:rsidP="001D628A">
      <w:pPr>
        <w:pStyle w:val="FootnoteText"/>
      </w:pPr>
      <w:r>
        <w:rPr>
          <w:rStyle w:val="FootnoteReference"/>
        </w:rPr>
        <w:footnoteRef/>
      </w:r>
      <w:r>
        <w:t xml:space="preserve"> FL Rising was added to this docket as an Interested </w:t>
      </w:r>
      <w:r w:rsidR="00D45CE3">
        <w:t>Person</w:t>
      </w:r>
      <w:r>
        <w:t xml:space="preserve"> on February 18, 2025. The Southern Alliance for Clean Energy was added to this docket as an Interested </w:t>
      </w:r>
      <w:r w:rsidR="00D45CE3">
        <w:t>Person</w:t>
      </w:r>
      <w:r>
        <w:t xml:space="preserve"> on February 21, 2025, but did not file post-workshop comments</w:t>
      </w:r>
      <w:r w:rsidR="00D23CEA">
        <w:t xml:space="preserve"> or otherwise participate in the workshop.</w:t>
      </w:r>
    </w:p>
  </w:footnote>
  <w:footnote w:id="3">
    <w:p w14:paraId="31C2BD25" w14:textId="77777777" w:rsidR="001D628A" w:rsidRDefault="001D628A" w:rsidP="001D628A">
      <w:pPr>
        <w:pStyle w:val="FootnoteText"/>
      </w:pPr>
      <w:r>
        <w:rPr>
          <w:rStyle w:val="FootnoteReference"/>
        </w:rPr>
        <w:footnoteRef/>
      </w:r>
      <w:r>
        <w:t xml:space="preserve"> A detailed history of Commission actions regarding incentive mechanisms is provided in Order No. PSC-2025-0038-FOF-TP, beginning at page 173.</w:t>
      </w:r>
    </w:p>
  </w:footnote>
  <w:footnote w:id="4">
    <w:p w14:paraId="16DF1314" w14:textId="77777777" w:rsidR="001D628A" w:rsidRPr="000B1DE2" w:rsidRDefault="001D628A" w:rsidP="001D628A">
      <w:pPr>
        <w:pStyle w:val="FootnoteText"/>
        <w:rPr>
          <w:u w:val="single"/>
        </w:rPr>
      </w:pPr>
      <w:r>
        <w:rPr>
          <w:rStyle w:val="FootnoteReference"/>
        </w:rPr>
        <w:footnoteRef/>
      </w:r>
      <w:r>
        <w:t xml:space="preserve"> </w:t>
      </w:r>
      <w:r w:rsidRPr="00294F5B">
        <w:rPr>
          <w:i/>
          <w:iCs/>
        </w:rPr>
        <w:t>See</w:t>
      </w:r>
      <w:r>
        <w:t xml:space="preserve"> </w:t>
      </w:r>
      <w:r>
        <w:rPr>
          <w:i/>
          <w:iCs/>
        </w:rPr>
        <w:t>Floridians Against Increased Rates, Inc. v. Clark,</w:t>
      </w:r>
      <w:r>
        <w:t xml:space="preserve"> 371 So. 2d 905, 907 fn. 2 (Fla. 2023).</w:t>
      </w:r>
    </w:p>
  </w:footnote>
  <w:footnote w:id="5">
    <w:p w14:paraId="06EBA98E" w14:textId="77777777" w:rsidR="001D628A" w:rsidRDefault="001D628A" w:rsidP="001D628A">
      <w:pPr>
        <w:pStyle w:val="FootnoteText"/>
      </w:pPr>
      <w:r>
        <w:rPr>
          <w:rStyle w:val="FootnoteReference"/>
        </w:rPr>
        <w:footnoteRef/>
      </w:r>
      <w:r>
        <w:t xml:space="preserve"> </w:t>
      </w:r>
      <w:r w:rsidRPr="00294F5B">
        <w:rPr>
          <w:i/>
          <w:iCs/>
        </w:rPr>
        <w:t>See</w:t>
      </w:r>
      <w:r>
        <w:t xml:space="preserve"> Order No. PSC-13-0665-FOF-EI, issued December 18, 2013, in Docket No. 20130001-EI, </w:t>
      </w:r>
      <w:r>
        <w:rPr>
          <w:i/>
          <w:iCs/>
        </w:rPr>
        <w:t>I</w:t>
      </w:r>
      <w:r w:rsidRPr="00170096">
        <w:rPr>
          <w:i/>
          <w:iCs/>
        </w:rPr>
        <w:t>n re: Fuel and purchased power cost recovery clause with generating performance incentive factor</w:t>
      </w:r>
      <w:r w:rsidRPr="00294F5B">
        <w:t>.</w:t>
      </w:r>
    </w:p>
  </w:footnote>
  <w:footnote w:id="6">
    <w:p w14:paraId="18CA2069" w14:textId="77777777" w:rsidR="001D628A" w:rsidRDefault="001D628A" w:rsidP="001D628A">
      <w:pPr>
        <w:pStyle w:val="FootnoteText"/>
      </w:pPr>
      <w:r>
        <w:rPr>
          <w:rStyle w:val="FootnoteReference"/>
        </w:rPr>
        <w:footnoteRef/>
      </w:r>
      <w:r>
        <w:t xml:space="preserve"> </w:t>
      </w:r>
      <w:r w:rsidRPr="00B561A5">
        <w:rPr>
          <w:i/>
          <w:iCs/>
        </w:rPr>
        <w:t>See</w:t>
      </w:r>
      <w:r w:rsidRPr="007966F5">
        <w:t xml:space="preserve"> Document Nos. 01372-2025, 01386-2025, and 01387-2025</w:t>
      </w:r>
      <w:r>
        <w:t>,</w:t>
      </w:r>
      <w:r w:rsidRPr="007966F5">
        <w:t xml:space="preserve"> in Docket No. 20250032-EI</w:t>
      </w:r>
      <w:r>
        <w:t>.</w:t>
      </w:r>
    </w:p>
  </w:footnote>
  <w:footnote w:id="7">
    <w:p w14:paraId="4C4EC8BC" w14:textId="77777777" w:rsidR="001D628A" w:rsidRPr="009A2B9A" w:rsidRDefault="001D628A" w:rsidP="001D628A">
      <w:pPr>
        <w:pStyle w:val="FootnoteText"/>
      </w:pPr>
      <w:r>
        <w:rPr>
          <w:rStyle w:val="FootnoteReference"/>
        </w:rPr>
        <w:footnoteRef/>
      </w:r>
      <w:r>
        <w:t xml:space="preserve"> </w:t>
      </w:r>
      <w:r w:rsidRPr="003C1B2E">
        <w:rPr>
          <w:i/>
          <w:iCs/>
        </w:rPr>
        <w:t>See</w:t>
      </w:r>
      <w:r>
        <w:t xml:space="preserve"> Order No. PSC-00-1744-PAA-EI, issued September 26, 2000, in Docket No. 19991779-IE, </w:t>
      </w:r>
      <w:r>
        <w:rPr>
          <w:i/>
          <w:iCs/>
        </w:rPr>
        <w:t>I</w:t>
      </w:r>
      <w:r w:rsidRPr="00445EA2">
        <w:rPr>
          <w:i/>
          <w:iCs/>
        </w:rPr>
        <w:t>n re: Review of the appropriate application of incentives to wholesale power sales by investor-owned electric utilities</w:t>
      </w:r>
      <w:r w:rsidRPr="009A2B9A">
        <w:t>.</w:t>
      </w:r>
    </w:p>
  </w:footnote>
  <w:footnote w:id="8">
    <w:p w14:paraId="044B8F27" w14:textId="5D56DD44" w:rsidR="001D628A" w:rsidRPr="003878E0" w:rsidRDefault="001D628A" w:rsidP="001D628A">
      <w:pPr>
        <w:pStyle w:val="FootnoteText"/>
        <w:rPr>
          <w:u w:val="single"/>
        </w:rPr>
      </w:pPr>
      <w:r>
        <w:rPr>
          <w:rStyle w:val="FootnoteReference"/>
        </w:rPr>
        <w:footnoteRef/>
      </w:r>
      <w:r>
        <w:t xml:space="preserve"> </w:t>
      </w:r>
      <w:r w:rsidRPr="003C1B2E">
        <w:rPr>
          <w:i/>
          <w:iCs/>
        </w:rPr>
        <w:t>See</w:t>
      </w:r>
      <w:r>
        <w:t xml:space="preserve"> fns. 1</w:t>
      </w:r>
      <w:r w:rsidR="00F36D5F">
        <w:t>1</w:t>
      </w:r>
      <w:r>
        <w:t xml:space="preserve"> and 1</w:t>
      </w:r>
      <w:r w:rsidR="00F36D5F">
        <w:t>3</w:t>
      </w:r>
      <w:r>
        <w:t xml:space="preserve">, </w:t>
      </w:r>
      <w:r w:rsidR="004B497E">
        <w:rPr>
          <w:i/>
          <w:iCs/>
        </w:rPr>
        <w:t>infra</w:t>
      </w:r>
      <w:r w:rsidRPr="003C1B2E">
        <w:t>.</w:t>
      </w:r>
    </w:p>
  </w:footnote>
  <w:footnote w:id="9">
    <w:p w14:paraId="61BF87B5" w14:textId="77777777" w:rsidR="001D628A" w:rsidRDefault="001D628A" w:rsidP="001D628A">
      <w:pPr>
        <w:pStyle w:val="FootnoteText"/>
      </w:pPr>
      <w:r>
        <w:rPr>
          <w:rStyle w:val="FootnoteReference"/>
        </w:rPr>
        <w:footnoteRef/>
      </w:r>
      <w:r>
        <w:t xml:space="preserve"> </w:t>
      </w:r>
      <w:r w:rsidRPr="003C1B2E">
        <w:rPr>
          <w:i/>
          <w:iCs/>
        </w:rPr>
        <w:t>See</w:t>
      </w:r>
      <w:r>
        <w:t xml:space="preserve"> Order No. PSC-2024-0472-AS-EI, p. 36.</w:t>
      </w:r>
    </w:p>
  </w:footnote>
  <w:footnote w:id="10">
    <w:p w14:paraId="4AF65BFA" w14:textId="77777777" w:rsidR="001D628A" w:rsidRPr="00A03C66" w:rsidRDefault="001D628A" w:rsidP="001D628A">
      <w:pPr>
        <w:pStyle w:val="FootnoteText"/>
      </w:pPr>
      <w:r>
        <w:rPr>
          <w:rStyle w:val="FootnoteReference"/>
        </w:rPr>
        <w:footnoteRef/>
      </w:r>
      <w:r>
        <w:t xml:space="preserve"> </w:t>
      </w:r>
      <w:r w:rsidRPr="003C1B2E">
        <w:rPr>
          <w:i/>
          <w:iCs/>
        </w:rPr>
        <w:t>See</w:t>
      </w:r>
      <w:r>
        <w:t xml:space="preserve"> Document Nos. 08082-2025 (FL Rising Response in Opposition to Motion to Approve Settlement Agreement) and 08105-2025 (OPC Letter Opposing FPL Rate Increase Settlement), in Docket No. 20240011-EI, filed August 20 &amp; 21, 2025, respectively.</w:t>
      </w:r>
    </w:p>
  </w:footnote>
  <w:footnote w:id="11">
    <w:p w14:paraId="68335D56" w14:textId="77777777" w:rsidR="001D628A" w:rsidRDefault="001D628A" w:rsidP="001D628A">
      <w:pPr>
        <w:pStyle w:val="FootnoteText"/>
      </w:pPr>
      <w:r>
        <w:rPr>
          <w:rStyle w:val="FootnoteReference"/>
        </w:rPr>
        <w:footnoteRef/>
      </w:r>
      <w:r>
        <w:t xml:space="preserve"> Case Nos. SC2026-0259 (OPC) &amp; SC2026-0281 (FL Rising).</w:t>
      </w:r>
    </w:p>
  </w:footnote>
  <w:footnote w:id="12">
    <w:p w14:paraId="15908C14" w14:textId="77777777" w:rsidR="001D628A" w:rsidRPr="004D3A47" w:rsidRDefault="001D628A" w:rsidP="001D628A">
      <w:pPr>
        <w:pStyle w:val="FootnoteText"/>
      </w:pPr>
      <w:r>
        <w:rPr>
          <w:rStyle w:val="FootnoteReference"/>
        </w:rPr>
        <w:footnoteRef/>
      </w:r>
      <w:r>
        <w:t xml:space="preserve"> </w:t>
      </w:r>
      <w:r w:rsidRPr="003C1B2E">
        <w:rPr>
          <w:i/>
          <w:iCs/>
        </w:rPr>
        <w:t>See</w:t>
      </w:r>
      <w:r>
        <w:t xml:space="preserve"> Document Nos. 09619-2024 (OPC Post-Hearing Brief) at p. 85 and 09626-2024 (FL Rising Post-Hearing Brief) at pp. 25-26, in Docket No. 20240026-EI, filed October 21, 2024.</w:t>
      </w:r>
    </w:p>
  </w:footnote>
  <w:footnote w:id="13">
    <w:p w14:paraId="655A9AF4" w14:textId="77777777" w:rsidR="001D628A" w:rsidRDefault="001D628A" w:rsidP="001D628A">
      <w:pPr>
        <w:pStyle w:val="FootnoteText"/>
      </w:pPr>
      <w:r>
        <w:rPr>
          <w:rStyle w:val="FootnoteReference"/>
        </w:rPr>
        <w:footnoteRef/>
      </w:r>
      <w:r>
        <w:t xml:space="preserve"> Case Nos. SC2025-0300 (OPC) &amp; SC2025-0289 (FL Rising).</w:t>
      </w:r>
    </w:p>
  </w:footnote>
  <w:footnote w:id="14">
    <w:p w14:paraId="5FF76B9D" w14:textId="77777777" w:rsidR="001D628A" w:rsidRDefault="001D628A" w:rsidP="001D628A">
      <w:pPr>
        <w:pStyle w:val="FootnoteText"/>
      </w:pPr>
      <w:r>
        <w:rPr>
          <w:rStyle w:val="FootnoteReference"/>
        </w:rPr>
        <w:footnoteRef/>
      </w:r>
      <w:r>
        <w:t xml:space="preserve"> </w:t>
      </w:r>
      <w:r w:rsidRPr="003C1B2E">
        <w:rPr>
          <w:i/>
          <w:iCs/>
        </w:rPr>
        <w:t>See</w:t>
      </w:r>
      <w:r>
        <w:t xml:space="preserve"> Document No. 03550-2026, titled Motion to Approve 2026 Bayside Agreement, filed in Docket Nos. 20260001-EI, 20260053-EI, and 20260062-EI.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4275D" w14:textId="187164AA" w:rsidR="00FA6EFD" w:rsidRDefault="00FA6EFD">
    <w:pPr>
      <w:pStyle w:val="OrderHeader"/>
    </w:pPr>
    <w:r>
      <w:t xml:space="preserve">ORDER NO. </w:t>
    </w:r>
    <w:r w:rsidR="00F10312">
      <w:fldChar w:fldCharType="begin"/>
    </w:r>
    <w:r w:rsidR="00F10312">
      <w:instrText xml:space="preserve"> REF OrderNo0291 </w:instrText>
    </w:r>
    <w:r w:rsidR="00F10312">
      <w:fldChar w:fldCharType="separate"/>
    </w:r>
    <w:r w:rsidR="00F10312">
      <w:t>PSC-2026-0291-PCO-EI</w:t>
    </w:r>
    <w:r w:rsidR="00F10312">
      <w:fldChar w:fldCharType="end"/>
    </w:r>
  </w:p>
  <w:p w14:paraId="7AA6F60B" w14:textId="30F8DF7C" w:rsidR="00FA6EFD" w:rsidRDefault="005312A5">
    <w:pPr>
      <w:pStyle w:val="OrderHeader"/>
    </w:pPr>
    <w:bookmarkStart w:id="8" w:name="HeaderDocketNo"/>
    <w:bookmarkEnd w:id="8"/>
    <w:r>
      <w:t>DOCKET NO. 20250032-EI</w:t>
    </w:r>
  </w:p>
  <w:p w14:paraId="723A0D56" w14:textId="77777777"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5F2751">
      <w:rPr>
        <w:rStyle w:val="PageNumber"/>
        <w:noProof/>
      </w:rPr>
      <w:t>2</w:t>
    </w:r>
    <w:r>
      <w:rPr>
        <w:rStyle w:val="PageNumber"/>
      </w:rPr>
      <w:fldChar w:fldCharType="end"/>
    </w:r>
  </w:p>
  <w:p w14:paraId="381E9A7F" w14:textId="77777777" w:rsidR="00FA6EFD" w:rsidRDefault="00FA6EFD">
    <w:pPr>
      <w:pStyle w:val="Order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0550D8"/>
    <w:multiLevelType w:val="hybridMultilevel"/>
    <w:tmpl w:val="5B72768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9F01FAF"/>
    <w:multiLevelType w:val="hybridMultilevel"/>
    <w:tmpl w:val="F1281292"/>
    <w:lvl w:ilvl="0" w:tplc="DC9E52F6">
      <w:start w:val="1"/>
      <w:numFmt w:val="upperRoman"/>
      <w:lvlText w:val="%1."/>
      <w:lvlJc w:val="left"/>
      <w:pPr>
        <w:ind w:left="720" w:hanging="72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64BE299B"/>
    <w:multiLevelType w:val="hybridMultilevel"/>
    <w:tmpl w:val="4F1AF65C"/>
    <w:lvl w:ilvl="0" w:tplc="E77E8636">
      <w:start w:val="1"/>
      <w:numFmt w:val="upperLetter"/>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F8D4737"/>
    <w:multiLevelType w:val="hybridMultilevel"/>
    <w:tmpl w:val="A33A7354"/>
    <w:lvl w:ilvl="0" w:tplc="C1766A1C">
      <w:start w:val="1"/>
      <w:numFmt w:val="upperLetter"/>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8367756">
    <w:abstractNumId w:val="0"/>
  </w:num>
  <w:num w:numId="2" w16cid:durableId="394741228">
    <w:abstractNumId w:val="1"/>
  </w:num>
  <w:num w:numId="3" w16cid:durableId="210852547">
    <w:abstractNumId w:val="2"/>
  </w:num>
  <w:num w:numId="4" w16cid:durableId="13320243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dgnword-docGUID" w:val="{2602033C-50AE-4923-ACD2-6D1619DC4E4C}"/>
    <w:docVar w:name="dgnword-eventsink" w:val="374508672"/>
    <w:docVar w:name="Dockets" w:val="20250032-EI"/>
  </w:docVars>
  <w:rsids>
    <w:rsidRoot w:val="005312A5"/>
    <w:rsid w:val="000003EA"/>
    <w:rsid w:val="000022B8"/>
    <w:rsid w:val="00003883"/>
    <w:rsid w:val="000048E2"/>
    <w:rsid w:val="00007E6D"/>
    <w:rsid w:val="00011251"/>
    <w:rsid w:val="00012B32"/>
    <w:rsid w:val="00025C2A"/>
    <w:rsid w:val="00025C9D"/>
    <w:rsid w:val="0003433F"/>
    <w:rsid w:val="00035A8C"/>
    <w:rsid w:val="00036BDD"/>
    <w:rsid w:val="000372A2"/>
    <w:rsid w:val="0004190B"/>
    <w:rsid w:val="00041FFD"/>
    <w:rsid w:val="00042C99"/>
    <w:rsid w:val="00046224"/>
    <w:rsid w:val="00053AB9"/>
    <w:rsid w:val="00056229"/>
    <w:rsid w:val="00057AF1"/>
    <w:rsid w:val="00065FC2"/>
    <w:rsid w:val="00066009"/>
    <w:rsid w:val="00067685"/>
    <w:rsid w:val="00067B07"/>
    <w:rsid w:val="000730D7"/>
    <w:rsid w:val="000736B1"/>
    <w:rsid w:val="00076E6B"/>
    <w:rsid w:val="00081AE4"/>
    <w:rsid w:val="0008247D"/>
    <w:rsid w:val="00085F96"/>
    <w:rsid w:val="00090AFC"/>
    <w:rsid w:val="00094880"/>
    <w:rsid w:val="00096025"/>
    <w:rsid w:val="00096507"/>
    <w:rsid w:val="00097328"/>
    <w:rsid w:val="00097513"/>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4FD"/>
    <w:rsid w:val="000E2593"/>
    <w:rsid w:val="000E344D"/>
    <w:rsid w:val="000E3F6D"/>
    <w:rsid w:val="000E6C6F"/>
    <w:rsid w:val="000F0C25"/>
    <w:rsid w:val="000F11F1"/>
    <w:rsid w:val="000F1515"/>
    <w:rsid w:val="000F359F"/>
    <w:rsid w:val="000F3B2C"/>
    <w:rsid w:val="000F3F6C"/>
    <w:rsid w:val="000F48D7"/>
    <w:rsid w:val="000F5115"/>
    <w:rsid w:val="000F63EB"/>
    <w:rsid w:val="000F648A"/>
    <w:rsid w:val="000F7BE3"/>
    <w:rsid w:val="001028B3"/>
    <w:rsid w:val="00103190"/>
    <w:rsid w:val="00104333"/>
    <w:rsid w:val="001052BA"/>
    <w:rsid w:val="0010703D"/>
    <w:rsid w:val="001107B3"/>
    <w:rsid w:val="001114B1"/>
    <w:rsid w:val="00112D55"/>
    <w:rsid w:val="001139D8"/>
    <w:rsid w:val="00116AD3"/>
    <w:rsid w:val="00121957"/>
    <w:rsid w:val="0012387E"/>
    <w:rsid w:val="0012393B"/>
    <w:rsid w:val="00123F2B"/>
    <w:rsid w:val="001259EC"/>
    <w:rsid w:val="00126593"/>
    <w:rsid w:val="00126C01"/>
    <w:rsid w:val="001318EF"/>
    <w:rsid w:val="00134177"/>
    <w:rsid w:val="00135EC1"/>
    <w:rsid w:val="00136087"/>
    <w:rsid w:val="00142A96"/>
    <w:rsid w:val="00146A7F"/>
    <w:rsid w:val="001513DE"/>
    <w:rsid w:val="00154A71"/>
    <w:rsid w:val="001562B9"/>
    <w:rsid w:val="00163676"/>
    <w:rsid w:val="001655D4"/>
    <w:rsid w:val="00165803"/>
    <w:rsid w:val="00173ADC"/>
    <w:rsid w:val="00185F09"/>
    <w:rsid w:val="00187E32"/>
    <w:rsid w:val="001918FF"/>
    <w:rsid w:val="00194420"/>
    <w:rsid w:val="00194A97"/>
    <w:rsid w:val="00194E81"/>
    <w:rsid w:val="001A15E7"/>
    <w:rsid w:val="001A2EB3"/>
    <w:rsid w:val="001A33C9"/>
    <w:rsid w:val="001A58F3"/>
    <w:rsid w:val="001B034E"/>
    <w:rsid w:val="001B66AF"/>
    <w:rsid w:val="001C2204"/>
    <w:rsid w:val="001C2847"/>
    <w:rsid w:val="001C3BB5"/>
    <w:rsid w:val="001C3F8C"/>
    <w:rsid w:val="001C445C"/>
    <w:rsid w:val="001C5338"/>
    <w:rsid w:val="001C6097"/>
    <w:rsid w:val="001C7126"/>
    <w:rsid w:val="001D008A"/>
    <w:rsid w:val="001D0794"/>
    <w:rsid w:val="001D628A"/>
    <w:rsid w:val="001D7777"/>
    <w:rsid w:val="001E0152"/>
    <w:rsid w:val="001E0FF5"/>
    <w:rsid w:val="001F0095"/>
    <w:rsid w:val="001F36B0"/>
    <w:rsid w:val="001F4765"/>
    <w:rsid w:val="001F4CA3"/>
    <w:rsid w:val="001F59E0"/>
    <w:rsid w:val="002002ED"/>
    <w:rsid w:val="002044DD"/>
    <w:rsid w:val="002052A8"/>
    <w:rsid w:val="002059D2"/>
    <w:rsid w:val="002101DA"/>
    <w:rsid w:val="002170E5"/>
    <w:rsid w:val="002179AC"/>
    <w:rsid w:val="00220D57"/>
    <w:rsid w:val="00223B99"/>
    <w:rsid w:val="002270A9"/>
    <w:rsid w:val="0022721A"/>
    <w:rsid w:val="00230BB9"/>
    <w:rsid w:val="00233830"/>
    <w:rsid w:val="00236E4C"/>
    <w:rsid w:val="00241CEF"/>
    <w:rsid w:val="0024275D"/>
    <w:rsid w:val="00244000"/>
    <w:rsid w:val="0025124E"/>
    <w:rsid w:val="00252B30"/>
    <w:rsid w:val="00255291"/>
    <w:rsid w:val="002576E3"/>
    <w:rsid w:val="002613E4"/>
    <w:rsid w:val="00262C43"/>
    <w:rsid w:val="0026544B"/>
    <w:rsid w:val="00270F89"/>
    <w:rsid w:val="00276CDC"/>
    <w:rsid w:val="00277655"/>
    <w:rsid w:val="00280C72"/>
    <w:rsid w:val="002824B7"/>
    <w:rsid w:val="00282AC4"/>
    <w:rsid w:val="00292F02"/>
    <w:rsid w:val="00293DC9"/>
    <w:rsid w:val="00294DAA"/>
    <w:rsid w:val="00294F5B"/>
    <w:rsid w:val="00296AA7"/>
    <w:rsid w:val="00297C37"/>
    <w:rsid w:val="002A11AC"/>
    <w:rsid w:val="002A1B95"/>
    <w:rsid w:val="002A6F30"/>
    <w:rsid w:val="002A7884"/>
    <w:rsid w:val="002A7DFB"/>
    <w:rsid w:val="002B3111"/>
    <w:rsid w:val="002C09F5"/>
    <w:rsid w:val="002C118E"/>
    <w:rsid w:val="002C2096"/>
    <w:rsid w:val="002C3C71"/>
    <w:rsid w:val="002C4494"/>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45E0"/>
    <w:rsid w:val="002F7BF6"/>
    <w:rsid w:val="00302426"/>
    <w:rsid w:val="00303FDE"/>
    <w:rsid w:val="003057C1"/>
    <w:rsid w:val="00310E45"/>
    <w:rsid w:val="00313C5B"/>
    <w:rsid w:val="003140E8"/>
    <w:rsid w:val="003144B7"/>
    <w:rsid w:val="00321702"/>
    <w:rsid w:val="003231C7"/>
    <w:rsid w:val="00323839"/>
    <w:rsid w:val="00325AE2"/>
    <w:rsid w:val="003270C4"/>
    <w:rsid w:val="00331ED0"/>
    <w:rsid w:val="00332B0A"/>
    <w:rsid w:val="00333A41"/>
    <w:rsid w:val="00341036"/>
    <w:rsid w:val="00345434"/>
    <w:rsid w:val="00351C22"/>
    <w:rsid w:val="0035495B"/>
    <w:rsid w:val="00355A93"/>
    <w:rsid w:val="00360F30"/>
    <w:rsid w:val="00361522"/>
    <w:rsid w:val="003624A2"/>
    <w:rsid w:val="0036362B"/>
    <w:rsid w:val="0037196E"/>
    <w:rsid w:val="0037442E"/>
    <w:rsid w:val="003744F5"/>
    <w:rsid w:val="00382C6A"/>
    <w:rsid w:val="00385D0B"/>
    <w:rsid w:val="003875A9"/>
    <w:rsid w:val="00387BDE"/>
    <w:rsid w:val="00390DD8"/>
    <w:rsid w:val="00394DC6"/>
    <w:rsid w:val="00397C3E"/>
    <w:rsid w:val="003A5F8B"/>
    <w:rsid w:val="003B020F"/>
    <w:rsid w:val="003B1A09"/>
    <w:rsid w:val="003B3B09"/>
    <w:rsid w:val="003B4F77"/>
    <w:rsid w:val="003B6F02"/>
    <w:rsid w:val="003C0431"/>
    <w:rsid w:val="003C1B2E"/>
    <w:rsid w:val="003C29BB"/>
    <w:rsid w:val="003C3EF2"/>
    <w:rsid w:val="003C4179"/>
    <w:rsid w:val="003D3989"/>
    <w:rsid w:val="003D4CCA"/>
    <w:rsid w:val="003D52A6"/>
    <w:rsid w:val="003D6416"/>
    <w:rsid w:val="003D753D"/>
    <w:rsid w:val="003E18FC"/>
    <w:rsid w:val="003E1D48"/>
    <w:rsid w:val="003E2CF4"/>
    <w:rsid w:val="003E711F"/>
    <w:rsid w:val="003F1D2B"/>
    <w:rsid w:val="003F49A6"/>
    <w:rsid w:val="003F518F"/>
    <w:rsid w:val="003F6BA7"/>
    <w:rsid w:val="003F7445"/>
    <w:rsid w:val="00402533"/>
    <w:rsid w:val="00405881"/>
    <w:rsid w:val="00411DF2"/>
    <w:rsid w:val="00411E8F"/>
    <w:rsid w:val="0041412B"/>
    <w:rsid w:val="0041578B"/>
    <w:rsid w:val="004173BA"/>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35E4"/>
    <w:rsid w:val="00477699"/>
    <w:rsid w:val="00480710"/>
    <w:rsid w:val="004823C5"/>
    <w:rsid w:val="0049233E"/>
    <w:rsid w:val="004A25CD"/>
    <w:rsid w:val="004A26CC"/>
    <w:rsid w:val="004B2108"/>
    <w:rsid w:val="004B212A"/>
    <w:rsid w:val="004B3A2B"/>
    <w:rsid w:val="004B497E"/>
    <w:rsid w:val="004B70D3"/>
    <w:rsid w:val="004C0219"/>
    <w:rsid w:val="004C19DC"/>
    <w:rsid w:val="004C312D"/>
    <w:rsid w:val="004C544E"/>
    <w:rsid w:val="004C763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170F9"/>
    <w:rsid w:val="00523C5C"/>
    <w:rsid w:val="00524884"/>
    <w:rsid w:val="00525E93"/>
    <w:rsid w:val="0052671D"/>
    <w:rsid w:val="005300C0"/>
    <w:rsid w:val="005312A5"/>
    <w:rsid w:val="00533EF6"/>
    <w:rsid w:val="00540B41"/>
    <w:rsid w:val="00540E6B"/>
    <w:rsid w:val="0054109E"/>
    <w:rsid w:val="00541B17"/>
    <w:rsid w:val="00542DCB"/>
    <w:rsid w:val="00543CC0"/>
    <w:rsid w:val="00551166"/>
    <w:rsid w:val="00555628"/>
    <w:rsid w:val="0055595D"/>
    <w:rsid w:val="00556A10"/>
    <w:rsid w:val="00557F50"/>
    <w:rsid w:val="005645FC"/>
    <w:rsid w:val="00571D3D"/>
    <w:rsid w:val="00573194"/>
    <w:rsid w:val="00574379"/>
    <w:rsid w:val="00574D8D"/>
    <w:rsid w:val="005774A8"/>
    <w:rsid w:val="0058264B"/>
    <w:rsid w:val="00582889"/>
    <w:rsid w:val="00583F81"/>
    <w:rsid w:val="005850DF"/>
    <w:rsid w:val="00586368"/>
    <w:rsid w:val="005868AA"/>
    <w:rsid w:val="00590845"/>
    <w:rsid w:val="00592181"/>
    <w:rsid w:val="005944A0"/>
    <w:rsid w:val="00594726"/>
    <w:rsid w:val="005963C2"/>
    <w:rsid w:val="005A0D69"/>
    <w:rsid w:val="005A2CBF"/>
    <w:rsid w:val="005A31F4"/>
    <w:rsid w:val="005A73EA"/>
    <w:rsid w:val="005A7E27"/>
    <w:rsid w:val="005B45F7"/>
    <w:rsid w:val="005B63EA"/>
    <w:rsid w:val="005C15A7"/>
    <w:rsid w:val="005C1A88"/>
    <w:rsid w:val="005C5033"/>
    <w:rsid w:val="005C6A2F"/>
    <w:rsid w:val="005D4E1B"/>
    <w:rsid w:val="005D6624"/>
    <w:rsid w:val="005E751B"/>
    <w:rsid w:val="005F2751"/>
    <w:rsid w:val="005F3354"/>
    <w:rsid w:val="005F33B5"/>
    <w:rsid w:val="005F4AD6"/>
    <w:rsid w:val="0060005E"/>
    <w:rsid w:val="0060095B"/>
    <w:rsid w:val="00601266"/>
    <w:rsid w:val="00610221"/>
    <w:rsid w:val="00610543"/>
    <w:rsid w:val="00610E73"/>
    <w:rsid w:val="00615F9B"/>
    <w:rsid w:val="00616DF2"/>
    <w:rsid w:val="0062385D"/>
    <w:rsid w:val="00625975"/>
    <w:rsid w:val="0063168D"/>
    <w:rsid w:val="0063406C"/>
    <w:rsid w:val="00634260"/>
    <w:rsid w:val="00635C79"/>
    <w:rsid w:val="006423A7"/>
    <w:rsid w:val="006455DF"/>
    <w:rsid w:val="00645AF6"/>
    <w:rsid w:val="00647025"/>
    <w:rsid w:val="0064730A"/>
    <w:rsid w:val="006507DA"/>
    <w:rsid w:val="006531A4"/>
    <w:rsid w:val="00660774"/>
    <w:rsid w:val="0066389A"/>
    <w:rsid w:val="00663D2E"/>
    <w:rsid w:val="0066495C"/>
    <w:rsid w:val="00665CC7"/>
    <w:rsid w:val="00672612"/>
    <w:rsid w:val="00674ECC"/>
    <w:rsid w:val="00677F18"/>
    <w:rsid w:val="00684AE3"/>
    <w:rsid w:val="00692E1A"/>
    <w:rsid w:val="00692F33"/>
    <w:rsid w:val="00693483"/>
    <w:rsid w:val="00695682"/>
    <w:rsid w:val="00695E65"/>
    <w:rsid w:val="00696892"/>
    <w:rsid w:val="006A0A0A"/>
    <w:rsid w:val="006A0BF3"/>
    <w:rsid w:val="006A502B"/>
    <w:rsid w:val="006B0036"/>
    <w:rsid w:val="006B0DA6"/>
    <w:rsid w:val="006B3FA9"/>
    <w:rsid w:val="006C0283"/>
    <w:rsid w:val="006C3055"/>
    <w:rsid w:val="006C547E"/>
    <w:rsid w:val="006C6A11"/>
    <w:rsid w:val="006D1898"/>
    <w:rsid w:val="006D2B51"/>
    <w:rsid w:val="006D3D98"/>
    <w:rsid w:val="006D44CD"/>
    <w:rsid w:val="006D5575"/>
    <w:rsid w:val="006D7191"/>
    <w:rsid w:val="006E21C4"/>
    <w:rsid w:val="006E42BE"/>
    <w:rsid w:val="006E5D4D"/>
    <w:rsid w:val="006E6D16"/>
    <w:rsid w:val="0070108D"/>
    <w:rsid w:val="00703F2A"/>
    <w:rsid w:val="0070426E"/>
    <w:rsid w:val="00704C5D"/>
    <w:rsid w:val="007072BC"/>
    <w:rsid w:val="00715275"/>
    <w:rsid w:val="00721B44"/>
    <w:rsid w:val="007232A2"/>
    <w:rsid w:val="00726366"/>
    <w:rsid w:val="00731AB6"/>
    <w:rsid w:val="00733B6B"/>
    <w:rsid w:val="00740808"/>
    <w:rsid w:val="00740A1B"/>
    <w:rsid w:val="00742478"/>
    <w:rsid w:val="007462B4"/>
    <w:rsid w:val="007467C4"/>
    <w:rsid w:val="00752002"/>
    <w:rsid w:val="00755702"/>
    <w:rsid w:val="007560DE"/>
    <w:rsid w:val="0076170F"/>
    <w:rsid w:val="0076669C"/>
    <w:rsid w:val="00766E46"/>
    <w:rsid w:val="00771018"/>
    <w:rsid w:val="00772CCB"/>
    <w:rsid w:val="00777193"/>
    <w:rsid w:val="00777727"/>
    <w:rsid w:val="00781087"/>
    <w:rsid w:val="0078166A"/>
    <w:rsid w:val="00782B79"/>
    <w:rsid w:val="00783811"/>
    <w:rsid w:val="007843C4"/>
    <w:rsid w:val="007865E9"/>
    <w:rsid w:val="0079237D"/>
    <w:rsid w:val="00792383"/>
    <w:rsid w:val="00794D5A"/>
    <w:rsid w:val="00794DD9"/>
    <w:rsid w:val="007965EF"/>
    <w:rsid w:val="007977AB"/>
    <w:rsid w:val="007A060F"/>
    <w:rsid w:val="007A37DC"/>
    <w:rsid w:val="007A65C2"/>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6D30"/>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1237"/>
    <w:rsid w:val="008518B3"/>
    <w:rsid w:val="008524DB"/>
    <w:rsid w:val="00860F4B"/>
    <w:rsid w:val="00863A66"/>
    <w:rsid w:val="00864C44"/>
    <w:rsid w:val="008703D7"/>
    <w:rsid w:val="00870D47"/>
    <w:rsid w:val="008715E8"/>
    <w:rsid w:val="00874429"/>
    <w:rsid w:val="00875D22"/>
    <w:rsid w:val="00880104"/>
    <w:rsid w:val="008801C2"/>
    <w:rsid w:val="00880D38"/>
    <w:rsid w:val="00883D9A"/>
    <w:rsid w:val="00886A62"/>
    <w:rsid w:val="00890578"/>
    <w:rsid w:val="008919EF"/>
    <w:rsid w:val="00892B20"/>
    <w:rsid w:val="008931BC"/>
    <w:rsid w:val="00894F2E"/>
    <w:rsid w:val="008956F0"/>
    <w:rsid w:val="0089695B"/>
    <w:rsid w:val="00897740"/>
    <w:rsid w:val="00897B66"/>
    <w:rsid w:val="008A12EC"/>
    <w:rsid w:val="008A1DF5"/>
    <w:rsid w:val="008B14BE"/>
    <w:rsid w:val="008B19A6"/>
    <w:rsid w:val="008B4EFB"/>
    <w:rsid w:val="008B7615"/>
    <w:rsid w:val="008B78ED"/>
    <w:rsid w:val="008C21C8"/>
    <w:rsid w:val="008C6375"/>
    <w:rsid w:val="008C6A5B"/>
    <w:rsid w:val="008D0036"/>
    <w:rsid w:val="008D441D"/>
    <w:rsid w:val="008D498D"/>
    <w:rsid w:val="008D6D36"/>
    <w:rsid w:val="008D791F"/>
    <w:rsid w:val="008E0582"/>
    <w:rsid w:val="008E0693"/>
    <w:rsid w:val="008E26A5"/>
    <w:rsid w:val="008E42D2"/>
    <w:rsid w:val="008E6328"/>
    <w:rsid w:val="008F3E49"/>
    <w:rsid w:val="008F578F"/>
    <w:rsid w:val="008F5D04"/>
    <w:rsid w:val="008F6B3F"/>
    <w:rsid w:val="00902F40"/>
    <w:rsid w:val="009038D3"/>
    <w:rsid w:val="009040EE"/>
    <w:rsid w:val="00904D9B"/>
    <w:rsid w:val="009057FD"/>
    <w:rsid w:val="00906FBA"/>
    <w:rsid w:val="00910637"/>
    <w:rsid w:val="009163E8"/>
    <w:rsid w:val="00921BD3"/>
    <w:rsid w:val="009228C7"/>
    <w:rsid w:val="00922A7F"/>
    <w:rsid w:val="00923A5E"/>
    <w:rsid w:val="00924FE7"/>
    <w:rsid w:val="009263D0"/>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2B9A"/>
    <w:rsid w:val="009A4E13"/>
    <w:rsid w:val="009A6B17"/>
    <w:rsid w:val="009A7E5C"/>
    <w:rsid w:val="009B052E"/>
    <w:rsid w:val="009B0AE4"/>
    <w:rsid w:val="009B253D"/>
    <w:rsid w:val="009B4E00"/>
    <w:rsid w:val="009B4FCF"/>
    <w:rsid w:val="009C4300"/>
    <w:rsid w:val="009D46A5"/>
    <w:rsid w:val="009D4C29"/>
    <w:rsid w:val="009D50DE"/>
    <w:rsid w:val="009E58E9"/>
    <w:rsid w:val="009E67DE"/>
    <w:rsid w:val="009E6803"/>
    <w:rsid w:val="009F6AD2"/>
    <w:rsid w:val="009F7C1B"/>
    <w:rsid w:val="00A00B5B"/>
    <w:rsid w:val="00A00D8D"/>
    <w:rsid w:val="00A01BB6"/>
    <w:rsid w:val="00A0657C"/>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61BA"/>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2612"/>
    <w:rsid w:val="00AC4B09"/>
    <w:rsid w:val="00AC5A01"/>
    <w:rsid w:val="00AC6449"/>
    <w:rsid w:val="00AD10EB"/>
    <w:rsid w:val="00AD1ED3"/>
    <w:rsid w:val="00AD35F4"/>
    <w:rsid w:val="00AD3717"/>
    <w:rsid w:val="00AD490E"/>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561A5"/>
    <w:rsid w:val="00B57A8B"/>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1C0F"/>
    <w:rsid w:val="00BA21C4"/>
    <w:rsid w:val="00BA44A8"/>
    <w:rsid w:val="00BA49C5"/>
    <w:rsid w:val="00BA74C7"/>
    <w:rsid w:val="00BB0182"/>
    <w:rsid w:val="00BB2F4A"/>
    <w:rsid w:val="00BB637C"/>
    <w:rsid w:val="00BC1006"/>
    <w:rsid w:val="00BC786E"/>
    <w:rsid w:val="00BD5C92"/>
    <w:rsid w:val="00BE32F1"/>
    <w:rsid w:val="00BE50E6"/>
    <w:rsid w:val="00BE7A0C"/>
    <w:rsid w:val="00BF2928"/>
    <w:rsid w:val="00BF5D60"/>
    <w:rsid w:val="00BF6691"/>
    <w:rsid w:val="00C028FC"/>
    <w:rsid w:val="00C037F2"/>
    <w:rsid w:val="00C0386D"/>
    <w:rsid w:val="00C065A1"/>
    <w:rsid w:val="00C06FB1"/>
    <w:rsid w:val="00C10ED5"/>
    <w:rsid w:val="00C117A8"/>
    <w:rsid w:val="00C11D46"/>
    <w:rsid w:val="00C12574"/>
    <w:rsid w:val="00C12CB3"/>
    <w:rsid w:val="00C151A6"/>
    <w:rsid w:val="00C24098"/>
    <w:rsid w:val="00C2571F"/>
    <w:rsid w:val="00C30A4E"/>
    <w:rsid w:val="00C3483B"/>
    <w:rsid w:val="00C3641C"/>
    <w:rsid w:val="00C411F3"/>
    <w:rsid w:val="00C44105"/>
    <w:rsid w:val="00C52004"/>
    <w:rsid w:val="00C523EC"/>
    <w:rsid w:val="00C5451D"/>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178"/>
    <w:rsid w:val="00C90904"/>
    <w:rsid w:val="00C91123"/>
    <w:rsid w:val="00C96CB0"/>
    <w:rsid w:val="00CA1595"/>
    <w:rsid w:val="00CA21C4"/>
    <w:rsid w:val="00CA29D0"/>
    <w:rsid w:val="00CA5C68"/>
    <w:rsid w:val="00CA5DBF"/>
    <w:rsid w:val="00CA6CC2"/>
    <w:rsid w:val="00CA6D35"/>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180F"/>
    <w:rsid w:val="00CF32D2"/>
    <w:rsid w:val="00CF4CFE"/>
    <w:rsid w:val="00CF55E6"/>
    <w:rsid w:val="00D00E8E"/>
    <w:rsid w:val="00D02E0F"/>
    <w:rsid w:val="00D02F79"/>
    <w:rsid w:val="00D03EE8"/>
    <w:rsid w:val="00D07507"/>
    <w:rsid w:val="00D07EC9"/>
    <w:rsid w:val="00D10250"/>
    <w:rsid w:val="00D13535"/>
    <w:rsid w:val="00D1476E"/>
    <w:rsid w:val="00D15497"/>
    <w:rsid w:val="00D17B79"/>
    <w:rsid w:val="00D205F5"/>
    <w:rsid w:val="00D23CEA"/>
    <w:rsid w:val="00D23FEA"/>
    <w:rsid w:val="00D269CA"/>
    <w:rsid w:val="00D30B48"/>
    <w:rsid w:val="00D3168A"/>
    <w:rsid w:val="00D3213F"/>
    <w:rsid w:val="00D350D1"/>
    <w:rsid w:val="00D45CE3"/>
    <w:rsid w:val="00D46FAA"/>
    <w:rsid w:val="00D47A40"/>
    <w:rsid w:val="00D51D33"/>
    <w:rsid w:val="00D57132"/>
    <w:rsid w:val="00D57BB2"/>
    <w:rsid w:val="00D57E57"/>
    <w:rsid w:val="00D611DF"/>
    <w:rsid w:val="00D620DB"/>
    <w:rsid w:val="00D65405"/>
    <w:rsid w:val="00D70752"/>
    <w:rsid w:val="00D80E2D"/>
    <w:rsid w:val="00D824A6"/>
    <w:rsid w:val="00D84D5E"/>
    <w:rsid w:val="00D8560E"/>
    <w:rsid w:val="00D8758F"/>
    <w:rsid w:val="00D95E6A"/>
    <w:rsid w:val="00DA4EDD"/>
    <w:rsid w:val="00DA6B78"/>
    <w:rsid w:val="00DB0671"/>
    <w:rsid w:val="00DB122B"/>
    <w:rsid w:val="00DC1D94"/>
    <w:rsid w:val="00DC42CF"/>
    <w:rsid w:val="00DC4D2A"/>
    <w:rsid w:val="00DC6191"/>
    <w:rsid w:val="00DC738A"/>
    <w:rsid w:val="00DC76E4"/>
    <w:rsid w:val="00DC77A2"/>
    <w:rsid w:val="00DD382A"/>
    <w:rsid w:val="00DD592E"/>
    <w:rsid w:val="00DE057F"/>
    <w:rsid w:val="00DE0DEF"/>
    <w:rsid w:val="00DE2082"/>
    <w:rsid w:val="00DE2289"/>
    <w:rsid w:val="00DE499C"/>
    <w:rsid w:val="00DE6410"/>
    <w:rsid w:val="00DE69DB"/>
    <w:rsid w:val="00DF09A7"/>
    <w:rsid w:val="00DF0DE8"/>
    <w:rsid w:val="00DF249F"/>
    <w:rsid w:val="00DF2B51"/>
    <w:rsid w:val="00E001D6"/>
    <w:rsid w:val="00E00897"/>
    <w:rsid w:val="00E03A76"/>
    <w:rsid w:val="00E04410"/>
    <w:rsid w:val="00E07484"/>
    <w:rsid w:val="00E11351"/>
    <w:rsid w:val="00E114ED"/>
    <w:rsid w:val="00E17915"/>
    <w:rsid w:val="00E33F44"/>
    <w:rsid w:val="00E37D48"/>
    <w:rsid w:val="00E4225C"/>
    <w:rsid w:val="00E44879"/>
    <w:rsid w:val="00E46160"/>
    <w:rsid w:val="00E61530"/>
    <w:rsid w:val="00E61C77"/>
    <w:rsid w:val="00E72914"/>
    <w:rsid w:val="00E735B5"/>
    <w:rsid w:val="00E75AE0"/>
    <w:rsid w:val="00E76B61"/>
    <w:rsid w:val="00E83C1F"/>
    <w:rsid w:val="00E85684"/>
    <w:rsid w:val="00E86008"/>
    <w:rsid w:val="00E868F8"/>
    <w:rsid w:val="00E8794B"/>
    <w:rsid w:val="00E97656"/>
    <w:rsid w:val="00EA004A"/>
    <w:rsid w:val="00EA100E"/>
    <w:rsid w:val="00EA172C"/>
    <w:rsid w:val="00EA259B"/>
    <w:rsid w:val="00EA35A3"/>
    <w:rsid w:val="00EA3E6A"/>
    <w:rsid w:val="00EA3EC6"/>
    <w:rsid w:val="00EA69CF"/>
    <w:rsid w:val="00EB0B22"/>
    <w:rsid w:val="00EB18EF"/>
    <w:rsid w:val="00EB2D66"/>
    <w:rsid w:val="00EB58F4"/>
    <w:rsid w:val="00EB7951"/>
    <w:rsid w:val="00ED6A79"/>
    <w:rsid w:val="00EE17DF"/>
    <w:rsid w:val="00EF1482"/>
    <w:rsid w:val="00EF1D4B"/>
    <w:rsid w:val="00EF4621"/>
    <w:rsid w:val="00EF4D52"/>
    <w:rsid w:val="00EF6312"/>
    <w:rsid w:val="00F00C4B"/>
    <w:rsid w:val="00F038B0"/>
    <w:rsid w:val="00F05F34"/>
    <w:rsid w:val="00F10312"/>
    <w:rsid w:val="00F216D0"/>
    <w:rsid w:val="00F22B27"/>
    <w:rsid w:val="00F22D13"/>
    <w:rsid w:val="00F234A7"/>
    <w:rsid w:val="00F277B6"/>
    <w:rsid w:val="00F27DA5"/>
    <w:rsid w:val="00F3433D"/>
    <w:rsid w:val="00F36D5F"/>
    <w:rsid w:val="00F37E07"/>
    <w:rsid w:val="00F4182A"/>
    <w:rsid w:val="00F449C6"/>
    <w:rsid w:val="00F464ED"/>
    <w:rsid w:val="00F54380"/>
    <w:rsid w:val="00F54B47"/>
    <w:rsid w:val="00F5538C"/>
    <w:rsid w:val="00F61247"/>
    <w:rsid w:val="00F61F61"/>
    <w:rsid w:val="00F63191"/>
    <w:rsid w:val="00F6702E"/>
    <w:rsid w:val="00F70E84"/>
    <w:rsid w:val="00F74828"/>
    <w:rsid w:val="00F80685"/>
    <w:rsid w:val="00F94968"/>
    <w:rsid w:val="00FA092B"/>
    <w:rsid w:val="00FA4F6C"/>
    <w:rsid w:val="00FA6EFD"/>
    <w:rsid w:val="00FB2A8E"/>
    <w:rsid w:val="00FB3791"/>
    <w:rsid w:val="00FB6780"/>
    <w:rsid w:val="00FB74EA"/>
    <w:rsid w:val="00FC1262"/>
    <w:rsid w:val="00FC60BC"/>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D376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uiPriority w:val="99"/>
    <w:semiHidden/>
    <w:rsid w:val="00CD7132"/>
    <w:rPr>
      <w:vertAlign w:val="superscript"/>
    </w:rPr>
  </w:style>
  <w:style w:type="paragraph" w:styleId="FootnoteText">
    <w:name w:val="footnote text"/>
    <w:basedOn w:val="Normal"/>
    <w:link w:val="FootnoteTextChar"/>
    <w:uiPriority w:val="99"/>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ListParagraph">
    <w:name w:val="List Paragraph"/>
    <w:basedOn w:val="Normal"/>
    <w:uiPriority w:val="34"/>
    <w:qFormat/>
    <w:rsid w:val="005312A5"/>
    <w:pPr>
      <w:ind w:left="720"/>
      <w:contextualSpacing/>
    </w:pPr>
    <w:rPr>
      <w:rFonts w:ascii="Calibri" w:eastAsia="Calibri" w:hAnsi="Calibri"/>
    </w:rPr>
  </w:style>
  <w:style w:type="paragraph" w:customStyle="1" w:styleId="RecommendationMajorSectionHeading">
    <w:name w:val="Recommendation Major Section Heading"/>
    <w:basedOn w:val="Heading1"/>
    <w:next w:val="BodyText"/>
    <w:rsid w:val="001D628A"/>
    <w:pPr>
      <w:jc w:val="center"/>
    </w:pPr>
    <w:rPr>
      <w:rFonts w:ascii="Arial" w:hAnsi="Arial"/>
      <w:b/>
    </w:rPr>
  </w:style>
  <w:style w:type="paragraph" w:customStyle="1" w:styleId="StyleHeading1BoldUnderline">
    <w:name w:val="Style Heading 1 + Bold Underline"/>
    <w:basedOn w:val="Heading1"/>
    <w:link w:val="StyleHeading1BoldUnderlineChar"/>
    <w:rsid w:val="001D628A"/>
    <w:pPr>
      <w:keepNext w:val="0"/>
      <w:spacing w:before="240"/>
    </w:pPr>
    <w:rPr>
      <w:b/>
      <w:u w:val="single"/>
    </w:rPr>
  </w:style>
  <w:style w:type="character" w:customStyle="1" w:styleId="StyleHeading1BoldUnderlineChar">
    <w:name w:val="Style Heading 1 + Bold Underline Char"/>
    <w:link w:val="StyleHeading1BoldUnderline"/>
    <w:rsid w:val="001D628A"/>
    <w:rPr>
      <w:rFonts w:cs="Arial"/>
      <w:b/>
      <w:bCs/>
      <w:kern w:val="32"/>
      <w:sz w:val="24"/>
      <w:szCs w:val="32"/>
      <w:u w:val="single"/>
    </w:rPr>
  </w:style>
  <w:style w:type="character" w:customStyle="1" w:styleId="FootnoteTextChar">
    <w:name w:val="Footnote Text Char"/>
    <w:basedOn w:val="DefaultParagraphFont"/>
    <w:link w:val="FootnoteText"/>
    <w:uiPriority w:val="99"/>
    <w:rsid w:val="001D628A"/>
  </w:style>
  <w:style w:type="paragraph" w:customStyle="1" w:styleId="IssueHeading">
    <w:name w:val="Issue Heading"/>
    <w:basedOn w:val="Heading1"/>
    <w:next w:val="BodyText"/>
    <w:link w:val="IssueHeadingChar"/>
    <w:qFormat/>
    <w:rsid w:val="001D628A"/>
    <w:pPr>
      <w:keepNext w:val="0"/>
    </w:pPr>
    <w:rPr>
      <w:rFonts w:ascii="Arial" w:hAnsi="Arial"/>
      <w:b/>
      <w:i/>
    </w:rPr>
  </w:style>
  <w:style w:type="character" w:customStyle="1" w:styleId="IssueHeadingChar">
    <w:name w:val="Issue Heading Char"/>
    <w:link w:val="IssueHeading"/>
    <w:rsid w:val="001D628A"/>
    <w:rPr>
      <w:rFonts w:ascii="Arial" w:hAnsi="Arial" w:cs="Arial"/>
      <w:b/>
      <w:bCs/>
      <w:i/>
      <w:kern w:val="32"/>
      <w:sz w:val="24"/>
      <w:szCs w:val="32"/>
    </w:rPr>
  </w:style>
  <w:style w:type="paragraph" w:customStyle="1" w:styleId="IssueSubsectionHeading">
    <w:name w:val="Issue Subsection Heading"/>
    <w:basedOn w:val="Heading2"/>
    <w:next w:val="BodyText"/>
    <w:link w:val="IssueSubsectionHeadingChar"/>
    <w:qFormat/>
    <w:rsid w:val="001D628A"/>
    <w:pPr>
      <w:keepNext w:val="0"/>
    </w:pPr>
    <w:rPr>
      <w:rFonts w:ascii="Arial" w:hAnsi="Arial"/>
      <w:b/>
      <w:i/>
    </w:rPr>
  </w:style>
  <w:style w:type="character" w:customStyle="1" w:styleId="IssueSubsectionHeadingChar">
    <w:name w:val="Issue Subsection Heading Char"/>
    <w:link w:val="IssueSubsectionHeading"/>
    <w:rsid w:val="001D628A"/>
    <w:rPr>
      <w:rFonts w:ascii="Arial" w:hAnsi="Arial" w:cs="Arial"/>
      <w:b/>
      <w:bCs/>
      <w:i/>
      <w:iCs/>
      <w:sz w:val="24"/>
      <w:szCs w:val="28"/>
    </w:rPr>
  </w:style>
  <w:style w:type="paragraph" w:customStyle="1" w:styleId="First-LevelSubheading">
    <w:name w:val="First-Level Subheading"/>
    <w:basedOn w:val="IssueSubsectionHeading"/>
    <w:next w:val="BodyText"/>
    <w:qFormat/>
    <w:rsid w:val="001D628A"/>
    <w:pPr>
      <w:spacing w:after="0"/>
      <w:outlineLvl w:val="2"/>
    </w:pPr>
    <w:rPr>
      <w:i w:val="0"/>
    </w:rPr>
  </w:style>
  <w:style w:type="paragraph" w:customStyle="1" w:styleId="TableNumber">
    <w:name w:val="Table Number"/>
    <w:basedOn w:val="BodyText"/>
    <w:next w:val="BodyText"/>
    <w:qFormat/>
    <w:rsid w:val="001D628A"/>
    <w:pPr>
      <w:spacing w:before="480" w:after="0"/>
      <w:jc w:val="center"/>
    </w:pPr>
    <w:rPr>
      <w:rFonts w:ascii="Arial" w:hAnsi="Arial"/>
      <w:b/>
    </w:rPr>
  </w:style>
  <w:style w:type="paragraph" w:customStyle="1" w:styleId="TableTitle">
    <w:name w:val="Table Title"/>
    <w:basedOn w:val="BodyText"/>
    <w:next w:val="BodyText"/>
    <w:qFormat/>
    <w:rsid w:val="001D628A"/>
    <w:pPr>
      <w:spacing w:after="0"/>
      <w:jc w:val="center"/>
    </w:pPr>
    <w:rPr>
      <w:rFonts w:ascii="Arial" w:hAnsi="Arial"/>
      <w:b/>
    </w:rPr>
  </w:style>
  <w:style w:type="paragraph" w:customStyle="1" w:styleId="TableSource">
    <w:name w:val="Table Source"/>
    <w:basedOn w:val="BodyText"/>
    <w:next w:val="BodyText"/>
    <w:qFormat/>
    <w:rsid w:val="001D628A"/>
    <w:pPr>
      <w:spacing w:after="480"/>
      <w:jc w:val="both"/>
    </w:pPr>
  </w:style>
  <w:style w:type="paragraph" w:customStyle="1" w:styleId="Second-LevelSubheading">
    <w:name w:val="Second-Level Subheading"/>
    <w:basedOn w:val="First-LevelSubheading"/>
    <w:next w:val="BodyText"/>
    <w:qFormat/>
    <w:rsid w:val="001D628A"/>
    <w:pPr>
      <w:ind w:left="720"/>
      <w:outlineLvl w:val="3"/>
    </w:pPr>
    <w:rPr>
      <w:i/>
    </w:rPr>
  </w:style>
  <w:style w:type="character" w:styleId="CommentReference">
    <w:name w:val="annotation reference"/>
    <w:basedOn w:val="DefaultParagraphFont"/>
    <w:semiHidden/>
    <w:unhideWhenUsed/>
    <w:rsid w:val="000E24FD"/>
    <w:rPr>
      <w:sz w:val="16"/>
      <w:szCs w:val="16"/>
    </w:rPr>
  </w:style>
  <w:style w:type="paragraph" w:styleId="CommentText">
    <w:name w:val="annotation text"/>
    <w:basedOn w:val="Normal"/>
    <w:link w:val="CommentTextChar"/>
    <w:unhideWhenUsed/>
    <w:rsid w:val="000E24FD"/>
    <w:rPr>
      <w:sz w:val="20"/>
      <w:szCs w:val="20"/>
    </w:rPr>
  </w:style>
  <w:style w:type="character" w:customStyle="1" w:styleId="CommentTextChar">
    <w:name w:val="Comment Text Char"/>
    <w:basedOn w:val="DefaultParagraphFont"/>
    <w:link w:val="CommentText"/>
    <w:rsid w:val="000E24FD"/>
  </w:style>
  <w:style w:type="paragraph" w:styleId="CommentSubject">
    <w:name w:val="annotation subject"/>
    <w:basedOn w:val="CommentText"/>
    <w:next w:val="CommentText"/>
    <w:link w:val="CommentSubjectChar"/>
    <w:semiHidden/>
    <w:unhideWhenUsed/>
    <w:rsid w:val="000E24FD"/>
    <w:rPr>
      <w:b/>
      <w:bCs/>
    </w:rPr>
  </w:style>
  <w:style w:type="character" w:customStyle="1" w:styleId="CommentSubjectChar">
    <w:name w:val="Comment Subject Char"/>
    <w:basedOn w:val="CommentTextChar"/>
    <w:link w:val="CommentSubject"/>
    <w:semiHidden/>
    <w:rsid w:val="000E24F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7</Pages>
  <Words>2358</Words>
  <Characters>13445</Characters>
  <Application>Microsoft Office Word</Application>
  <DocSecurity>0</DocSecurity>
  <Lines>112</Lines>
  <Paragraphs>31</Paragraphs>
  <ScaleCrop>false</ScaleCrop>
  <Company/>
  <LinksUpToDate>false</LinksUpToDate>
  <CharactersWithSpaces>15772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2026-08-24T13:40:00Z</dcterms:created>
  <dcterms:modified xsi:type="dcterms:W3CDTF">2026-08-24T14:02:00Z</dcterms:modified>
</cp:coreProperties>
</file>