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388AC" w14:textId="77777777" w:rsidR="006D7992" w:rsidRDefault="006D7992" w:rsidP="006D7992">
      <w:pPr>
        <w:pStyle w:val="OrderHeading"/>
      </w:pPr>
      <w:r>
        <w:t>BEFORE THE FLORIDA PUBLIC SERVICE COMMISSION</w:t>
      </w:r>
    </w:p>
    <w:p w14:paraId="37FD7460" w14:textId="77777777" w:rsidR="006D7992" w:rsidRDefault="006D7992" w:rsidP="006D7992">
      <w:pPr>
        <w:pStyle w:val="OrderBody"/>
      </w:pPr>
    </w:p>
    <w:p w14:paraId="1BBF35FA" w14:textId="77777777" w:rsidR="006D7992" w:rsidRDefault="006D7992" w:rsidP="006D7992">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6D7992" w:rsidRPr="00C63FCF" w14:paraId="7CCD91B1" w14:textId="77777777" w:rsidTr="00C63FCF">
        <w:trPr>
          <w:trHeight w:val="828"/>
        </w:trPr>
        <w:tc>
          <w:tcPr>
            <w:tcW w:w="4788" w:type="dxa"/>
            <w:tcBorders>
              <w:bottom w:val="single" w:sz="8" w:space="0" w:color="auto"/>
              <w:right w:val="double" w:sz="6" w:space="0" w:color="auto"/>
            </w:tcBorders>
            <w:shd w:val="clear" w:color="auto" w:fill="auto"/>
          </w:tcPr>
          <w:p w14:paraId="11868347" w14:textId="714F4D58" w:rsidR="006D7992" w:rsidRDefault="006D7992" w:rsidP="00C63FCF">
            <w:pPr>
              <w:pStyle w:val="OrderBody"/>
              <w:tabs>
                <w:tab w:val="center" w:pos="4320"/>
                <w:tab w:val="right" w:pos="8640"/>
              </w:tabs>
              <w:jc w:val="left"/>
            </w:pPr>
            <w:r>
              <w:t xml:space="preserve">In re: </w:t>
            </w:r>
            <w:bookmarkStart w:id="0" w:name="SSInRe"/>
            <w:bookmarkEnd w:id="0"/>
            <w:r>
              <w:t>Petition to establish rate base value of wastewater system of Forest Utilities, Inc. in Lee County, using alternative valuation procedure, by CSWR-Florida Utility Operating Company, LLC.</w:t>
            </w:r>
          </w:p>
        </w:tc>
        <w:tc>
          <w:tcPr>
            <w:tcW w:w="4788" w:type="dxa"/>
            <w:tcBorders>
              <w:left w:val="double" w:sz="6" w:space="0" w:color="auto"/>
            </w:tcBorders>
            <w:shd w:val="clear" w:color="auto" w:fill="auto"/>
          </w:tcPr>
          <w:p w14:paraId="7066EAE5" w14:textId="0A572B33" w:rsidR="006D7992" w:rsidRDefault="006D7992" w:rsidP="006D7992">
            <w:pPr>
              <w:pStyle w:val="OrderBody"/>
            </w:pPr>
            <w:r>
              <w:t xml:space="preserve">DOCKET NO. </w:t>
            </w:r>
            <w:bookmarkStart w:id="1" w:name="SSDocketNo"/>
            <w:bookmarkEnd w:id="1"/>
            <w:r>
              <w:t>20260083-SU</w:t>
            </w:r>
          </w:p>
          <w:p w14:paraId="374E448F" w14:textId="5CB5AF18" w:rsidR="006D7992" w:rsidRDefault="006D7992" w:rsidP="00C63FCF">
            <w:pPr>
              <w:pStyle w:val="OrderBody"/>
              <w:tabs>
                <w:tab w:val="center" w:pos="4320"/>
                <w:tab w:val="right" w:pos="8640"/>
              </w:tabs>
              <w:jc w:val="left"/>
            </w:pPr>
            <w:r>
              <w:t xml:space="preserve">ORDER NO. </w:t>
            </w:r>
            <w:bookmarkStart w:id="2" w:name="OrderNo0357"/>
            <w:r w:rsidR="00EA77C8">
              <w:t>PSC-2026-0357-PCO-SU</w:t>
            </w:r>
            <w:bookmarkEnd w:id="2"/>
          </w:p>
          <w:p w14:paraId="50A8F50B" w14:textId="410B1691" w:rsidR="006D7992" w:rsidRDefault="006D7992" w:rsidP="00C63FCF">
            <w:pPr>
              <w:pStyle w:val="OrderBody"/>
              <w:tabs>
                <w:tab w:val="center" w:pos="4320"/>
                <w:tab w:val="right" w:pos="8640"/>
              </w:tabs>
              <w:jc w:val="left"/>
            </w:pPr>
            <w:r>
              <w:t xml:space="preserve">ISSUED: </w:t>
            </w:r>
            <w:r w:rsidR="00EA77C8">
              <w:t>October 14, 2026</w:t>
            </w:r>
          </w:p>
        </w:tc>
      </w:tr>
    </w:tbl>
    <w:p w14:paraId="44D9C45F" w14:textId="77777777" w:rsidR="006D7992" w:rsidRDefault="006D7992" w:rsidP="006D7992"/>
    <w:p w14:paraId="202ABE9D" w14:textId="755B2650" w:rsidR="00CB5276" w:rsidRDefault="00D611DF" w:rsidP="006D7992">
      <w:r>
        <w:t xml:space="preserve"> </w:t>
      </w:r>
    </w:p>
    <w:p w14:paraId="309D3BC5" w14:textId="2539D60F" w:rsidR="002E15A8" w:rsidRDefault="006D7992" w:rsidP="002E15A8">
      <w:pPr>
        <w:pStyle w:val="CenterUnderline"/>
      </w:pPr>
      <w:bookmarkStart w:id="3" w:name="Commissioners"/>
      <w:bookmarkEnd w:id="3"/>
      <w:r>
        <w:t>ORDER</w:t>
      </w:r>
      <w:bookmarkStart w:id="4" w:name="OrderTitle"/>
      <w:r>
        <w:t xml:space="preserve"> </w:t>
      </w:r>
      <w:r w:rsidR="002E15A8">
        <w:t>DENYING CITIZEN</w:t>
      </w:r>
      <w:r w:rsidR="00125262">
        <w:t>S</w:t>
      </w:r>
      <w:r w:rsidR="002E15A8">
        <w:t xml:space="preserve">’ </w:t>
      </w:r>
      <w:r w:rsidR="00A8746F">
        <w:t xml:space="preserve">EXPEDITED </w:t>
      </w:r>
      <w:r w:rsidR="002E15A8">
        <w:t>MOTION FOR MODIFICATION</w:t>
      </w:r>
    </w:p>
    <w:p w14:paraId="1B0ACE8F" w14:textId="77777777" w:rsidR="002E15A8" w:rsidRDefault="002E15A8" w:rsidP="002E15A8">
      <w:pPr>
        <w:pStyle w:val="CenterUnderline"/>
      </w:pPr>
      <w:r>
        <w:t xml:space="preserve">OF THE ORDER ESTABLISHING PROCEDURE </w:t>
      </w:r>
    </w:p>
    <w:p w14:paraId="08A2FD33" w14:textId="77777777" w:rsidR="002E15A8" w:rsidRDefault="002E15A8" w:rsidP="002E15A8">
      <w:pPr>
        <w:pStyle w:val="CenterUnderline"/>
      </w:pPr>
      <w:r>
        <w:t>AND</w:t>
      </w:r>
    </w:p>
    <w:p w14:paraId="274419A3" w14:textId="5941B5F0" w:rsidR="00126DA0" w:rsidRDefault="00126DA0" w:rsidP="002E15A8">
      <w:pPr>
        <w:pStyle w:val="CenterUnderline"/>
      </w:pPr>
      <w:r>
        <w:t xml:space="preserve">ORDER ON </w:t>
      </w:r>
      <w:r w:rsidR="0028334C">
        <w:t>CITIZEN</w:t>
      </w:r>
      <w:r w:rsidR="00A8746F">
        <w:t>S</w:t>
      </w:r>
      <w:r w:rsidR="0028334C">
        <w:t xml:space="preserve">’ </w:t>
      </w:r>
      <w:r w:rsidR="002E15A8">
        <w:t xml:space="preserve">MOTION TO STRIKE PORTIONS OF </w:t>
      </w:r>
    </w:p>
    <w:p w14:paraId="09E32B1E" w14:textId="77777777" w:rsidR="00126DA0" w:rsidRDefault="002E15A8" w:rsidP="002E15A8">
      <w:pPr>
        <w:pStyle w:val="CenterUnderline"/>
      </w:pPr>
      <w:r>
        <w:t xml:space="preserve">JOSIAH COX’S DIRECT TESTIMONY, REBUTTAL TESTIMONY, AND </w:t>
      </w:r>
    </w:p>
    <w:p w14:paraId="22DF50EC" w14:textId="41BCFA82" w:rsidR="00CB5276" w:rsidRDefault="002E15A8" w:rsidP="002E15A8">
      <w:pPr>
        <w:pStyle w:val="CenterUnderline"/>
      </w:pPr>
      <w:r>
        <w:t>EXHIBITS AND DAUBERT CHALLENGE</w:t>
      </w:r>
      <w:r w:rsidR="006D7992">
        <w:t xml:space="preserve"> </w:t>
      </w:r>
      <w:bookmarkEnd w:id="4"/>
    </w:p>
    <w:p w14:paraId="03150FD4" w14:textId="77777777" w:rsidR="006D7992" w:rsidRDefault="006D7992" w:rsidP="006D7992">
      <w:pPr>
        <w:pStyle w:val="CenterUnderline"/>
      </w:pPr>
    </w:p>
    <w:p w14:paraId="1E3FBC25" w14:textId="77777777" w:rsidR="006D7992" w:rsidRDefault="006D7992" w:rsidP="006D7992">
      <w:pPr>
        <w:pStyle w:val="OrderBody"/>
      </w:pPr>
    </w:p>
    <w:p w14:paraId="20E9B6BF" w14:textId="2686A7B7" w:rsidR="00126DA0" w:rsidRDefault="002E15A8" w:rsidP="00126DA0">
      <w:pPr>
        <w:pStyle w:val="CenterUnderline"/>
        <w:ind w:firstLine="720"/>
        <w:jc w:val="both"/>
        <w:rPr>
          <w:bCs/>
          <w:u w:val="none"/>
        </w:rPr>
      </w:pPr>
      <w:bookmarkStart w:id="5" w:name="OrderText"/>
      <w:bookmarkEnd w:id="5"/>
      <w:r>
        <w:rPr>
          <w:bCs/>
          <w:u w:val="none"/>
        </w:rPr>
        <w:t>On September 23, 2026, the Office of Public Counsel (“OPC”) filed its Expedited Motion for Modification of the Order Establishing Procedure (“Motion</w:t>
      </w:r>
      <w:r w:rsidR="002E5246">
        <w:rPr>
          <w:bCs/>
          <w:u w:val="none"/>
        </w:rPr>
        <w:t xml:space="preserve"> to Modify</w:t>
      </w:r>
      <w:r>
        <w:rPr>
          <w:bCs/>
          <w:u w:val="none"/>
        </w:rPr>
        <w:t>”). In its Motion</w:t>
      </w:r>
      <w:r w:rsidR="002E5246">
        <w:rPr>
          <w:bCs/>
          <w:u w:val="none"/>
        </w:rPr>
        <w:t xml:space="preserve"> to Modify</w:t>
      </w:r>
      <w:r>
        <w:rPr>
          <w:bCs/>
          <w:u w:val="none"/>
        </w:rPr>
        <w:t xml:space="preserve">, </w:t>
      </w:r>
      <w:r w:rsidRPr="00D21C18">
        <w:rPr>
          <w:bCs/>
          <w:u w:val="none"/>
        </w:rPr>
        <w:t>OPC</w:t>
      </w:r>
      <w:r>
        <w:rPr>
          <w:bCs/>
          <w:u w:val="none"/>
        </w:rPr>
        <w:t>, pursuant to Rule 28-102.604(4), Florida Administrative Code (F.A.C.),</w:t>
      </w:r>
      <w:r w:rsidRPr="00D21C18">
        <w:rPr>
          <w:bCs/>
          <w:u w:val="none"/>
        </w:rPr>
        <w:t xml:space="preserve"> request</w:t>
      </w:r>
      <w:r>
        <w:rPr>
          <w:bCs/>
          <w:u w:val="none"/>
        </w:rPr>
        <w:t>ed</w:t>
      </w:r>
      <w:r w:rsidRPr="00D21C18">
        <w:rPr>
          <w:bCs/>
          <w:u w:val="none"/>
        </w:rPr>
        <w:t xml:space="preserve"> the deadline for filing any Motions to Strike Testimony be moved</w:t>
      </w:r>
      <w:r>
        <w:rPr>
          <w:bCs/>
          <w:u w:val="none"/>
        </w:rPr>
        <w:t xml:space="preserve"> from September 30</w:t>
      </w:r>
      <w:r w:rsidRPr="00D21C18">
        <w:rPr>
          <w:bCs/>
          <w:u w:val="none"/>
        </w:rPr>
        <w:t xml:space="preserve"> to October 9, 2026.</w:t>
      </w:r>
      <w:r>
        <w:rPr>
          <w:bCs/>
          <w:u w:val="none"/>
        </w:rPr>
        <w:t xml:space="preserve"> On September 25, 2026, CSWR-Florida Operating Utility Operating Company, LLC (CSWR) filed a Response in Opposition to the Expedited Motion.</w:t>
      </w:r>
      <w:r w:rsidRPr="00D21C18">
        <w:rPr>
          <w:bCs/>
          <w:u w:val="none"/>
        </w:rPr>
        <w:t xml:space="preserve"> </w:t>
      </w:r>
      <w:r>
        <w:rPr>
          <w:bCs/>
          <w:u w:val="none"/>
        </w:rPr>
        <w:t>On September 29, 2026, OPC filed its Addendum to Citizens’ Expedited Motion for Modification of the Order Establishing Procedure (“Addendum”).</w:t>
      </w:r>
      <w:r w:rsidR="00126DA0">
        <w:rPr>
          <w:bCs/>
          <w:u w:val="none"/>
        </w:rPr>
        <w:t xml:space="preserve"> </w:t>
      </w:r>
      <w:r>
        <w:rPr>
          <w:bCs/>
          <w:u w:val="none"/>
        </w:rPr>
        <w:t xml:space="preserve">On September 30, 2026, I denied the Motion </w:t>
      </w:r>
      <w:r w:rsidR="00126DA0">
        <w:rPr>
          <w:bCs/>
          <w:u w:val="none"/>
        </w:rPr>
        <w:t>to Modify</w:t>
      </w:r>
      <w:r>
        <w:rPr>
          <w:bCs/>
          <w:u w:val="none"/>
        </w:rPr>
        <w:t>.</w:t>
      </w:r>
      <w:r w:rsidR="001A6B03">
        <w:rPr>
          <w:bCs/>
          <w:u w:val="none"/>
        </w:rPr>
        <w:t xml:space="preserve"> </w:t>
      </w:r>
    </w:p>
    <w:p w14:paraId="48F297AE" w14:textId="77777777" w:rsidR="00126DA0" w:rsidRDefault="00126DA0" w:rsidP="00126DA0">
      <w:pPr>
        <w:pStyle w:val="CenterUnderline"/>
        <w:ind w:firstLine="720"/>
        <w:jc w:val="both"/>
        <w:rPr>
          <w:bCs/>
          <w:u w:val="none"/>
        </w:rPr>
      </w:pPr>
    </w:p>
    <w:p w14:paraId="32B2293E" w14:textId="33E32738" w:rsidR="009F77B9" w:rsidRDefault="002E5246" w:rsidP="00FE38F0">
      <w:pPr>
        <w:pStyle w:val="CenterUnderline"/>
        <w:ind w:firstLine="720"/>
        <w:jc w:val="both"/>
        <w:rPr>
          <w:u w:val="none"/>
        </w:rPr>
      </w:pPr>
      <w:r>
        <w:rPr>
          <w:bCs/>
          <w:u w:val="none"/>
        </w:rPr>
        <w:t xml:space="preserve"> OPC </w:t>
      </w:r>
      <w:r w:rsidR="00126DA0">
        <w:rPr>
          <w:bCs/>
          <w:u w:val="none"/>
        </w:rPr>
        <w:t xml:space="preserve">then </w:t>
      </w:r>
      <w:r>
        <w:rPr>
          <w:bCs/>
          <w:u w:val="none"/>
        </w:rPr>
        <w:t xml:space="preserve">filed its </w:t>
      </w:r>
      <w:r w:rsidRPr="002E5246">
        <w:rPr>
          <w:u w:val="none"/>
        </w:rPr>
        <w:t>Motion To Strike Portions Of Josiah Cox’s Direct Testimony, Rebuttal Testimony, And Exhibits And Daubert Challenge</w:t>
      </w:r>
      <w:r>
        <w:rPr>
          <w:u w:val="none"/>
        </w:rPr>
        <w:t xml:space="preserve"> (“Motion to Strike”)</w:t>
      </w:r>
      <w:r w:rsidR="00126DA0">
        <w:rPr>
          <w:u w:val="none"/>
        </w:rPr>
        <w:t xml:space="preserve"> </w:t>
      </w:r>
      <w:r w:rsidR="00126DA0">
        <w:rPr>
          <w:bCs/>
          <w:u w:val="none"/>
        </w:rPr>
        <w:t>on September 30, 2026</w:t>
      </w:r>
      <w:r>
        <w:rPr>
          <w:u w:val="none"/>
        </w:rPr>
        <w:t>. Pursuant to Rule 28-106.204(1), “</w:t>
      </w:r>
      <w:r w:rsidR="00A8746F">
        <w:rPr>
          <w:u w:val="none"/>
        </w:rPr>
        <w:t>[w]</w:t>
      </w:r>
      <w:r>
        <w:rPr>
          <w:u w:val="none"/>
        </w:rPr>
        <w:t xml:space="preserve">hen time allows, the other parties may, within 7 days of service of a written motion, file a response in opposition.” Given that under this calculation the deadline for responses to the Motion is October 7, 2026, and that the Prehearing Conference in this matter was also set for October 7, 2026, I ruled that any response to the Motion to Strike must be filed by October 6, 2026, at 12:00 p.m. (noon). CSWR filed its </w:t>
      </w:r>
      <w:r w:rsidR="006A3895">
        <w:rPr>
          <w:u w:val="none"/>
        </w:rPr>
        <w:t>Response in Opposition to Office of Public Counsel’s Motion to Strike Portions of Josiah Cox’s Direct Testimony, Rebuttal Testimony, and Exhibits and Daubert Challenge</w:t>
      </w:r>
      <w:r w:rsidR="00461694">
        <w:rPr>
          <w:u w:val="none"/>
        </w:rPr>
        <w:t xml:space="preserve"> (“Response”)</w:t>
      </w:r>
      <w:r w:rsidR="009F77B9">
        <w:rPr>
          <w:u w:val="none"/>
        </w:rPr>
        <w:t xml:space="preserve"> on </w:t>
      </w:r>
      <w:r w:rsidR="006A3895">
        <w:rPr>
          <w:u w:val="none"/>
        </w:rPr>
        <w:t>October 6, 2026</w:t>
      </w:r>
      <w:r w:rsidR="009F77B9">
        <w:rPr>
          <w:u w:val="none"/>
        </w:rPr>
        <w:t>.</w:t>
      </w:r>
      <w:r w:rsidR="00FE38F0">
        <w:rPr>
          <w:u w:val="none"/>
        </w:rPr>
        <w:t xml:space="preserve"> </w:t>
      </w:r>
      <w:r w:rsidR="009F77B9">
        <w:rPr>
          <w:u w:val="none"/>
        </w:rPr>
        <w:t xml:space="preserve">The Prehearing Conference was held on October 7, 2026, where </w:t>
      </w:r>
      <w:r w:rsidR="006A3895">
        <w:rPr>
          <w:u w:val="none"/>
        </w:rPr>
        <w:t>argument from both</w:t>
      </w:r>
      <w:r w:rsidR="009F77B9">
        <w:rPr>
          <w:u w:val="none"/>
        </w:rPr>
        <w:t xml:space="preserve"> parties </w:t>
      </w:r>
      <w:r w:rsidR="006A3895">
        <w:rPr>
          <w:u w:val="none"/>
        </w:rPr>
        <w:t xml:space="preserve">was heard </w:t>
      </w:r>
      <w:r w:rsidR="009F77B9">
        <w:rPr>
          <w:u w:val="none"/>
        </w:rPr>
        <w:t xml:space="preserve">on OPC’s Motion to Strike. </w:t>
      </w:r>
    </w:p>
    <w:p w14:paraId="13A7A66E" w14:textId="77777777" w:rsidR="009F77B9" w:rsidRDefault="009F77B9" w:rsidP="002E5246">
      <w:pPr>
        <w:pStyle w:val="CenterUnderline"/>
        <w:jc w:val="both"/>
        <w:rPr>
          <w:u w:val="none"/>
        </w:rPr>
      </w:pPr>
    </w:p>
    <w:p w14:paraId="4A539769" w14:textId="046277DD" w:rsidR="009F77B9" w:rsidRDefault="009F77B9" w:rsidP="009F77B9">
      <w:pPr>
        <w:pStyle w:val="CenterUnderline"/>
        <w:jc w:val="both"/>
        <w:rPr>
          <w:bCs/>
        </w:rPr>
      </w:pPr>
      <w:r>
        <w:rPr>
          <w:bCs/>
        </w:rPr>
        <w:t>Motion to Modify</w:t>
      </w:r>
    </w:p>
    <w:p w14:paraId="2E8F86EB" w14:textId="77777777" w:rsidR="00126DA0" w:rsidRDefault="00126DA0" w:rsidP="009F77B9">
      <w:pPr>
        <w:pStyle w:val="CenterUnderline"/>
        <w:jc w:val="both"/>
        <w:rPr>
          <w:bCs/>
        </w:rPr>
      </w:pPr>
    </w:p>
    <w:p w14:paraId="17FDC25A" w14:textId="7F6325B9" w:rsidR="00126DA0" w:rsidRPr="00126DA0" w:rsidRDefault="00126DA0" w:rsidP="009F77B9">
      <w:pPr>
        <w:pStyle w:val="CenterUnderline"/>
        <w:jc w:val="both"/>
        <w:rPr>
          <w:bCs/>
          <w:i/>
          <w:iCs/>
          <w:u w:val="none"/>
        </w:rPr>
      </w:pPr>
      <w:r>
        <w:rPr>
          <w:bCs/>
          <w:u w:val="none"/>
        </w:rPr>
        <w:tab/>
      </w:r>
      <w:r>
        <w:rPr>
          <w:bCs/>
          <w:i/>
          <w:iCs/>
          <w:u w:val="none"/>
        </w:rPr>
        <w:t>Motion</w:t>
      </w:r>
    </w:p>
    <w:p w14:paraId="03E46AC5" w14:textId="77777777" w:rsidR="009F77B9" w:rsidRDefault="009F77B9" w:rsidP="009F77B9">
      <w:pPr>
        <w:pStyle w:val="CenterUnderline"/>
        <w:jc w:val="both"/>
        <w:rPr>
          <w:bCs/>
          <w:u w:val="none"/>
        </w:rPr>
      </w:pPr>
    </w:p>
    <w:p w14:paraId="6CE0AFF3" w14:textId="3EE81C34" w:rsidR="009F77B9" w:rsidRDefault="009F77B9" w:rsidP="009F77B9">
      <w:pPr>
        <w:pStyle w:val="CenterUnderline"/>
        <w:ind w:firstLine="720"/>
        <w:jc w:val="both"/>
        <w:rPr>
          <w:bCs/>
          <w:u w:val="none"/>
        </w:rPr>
      </w:pPr>
      <w:r>
        <w:rPr>
          <w:bCs/>
          <w:u w:val="none"/>
        </w:rPr>
        <w:t xml:space="preserve">OPC filed its Motion to Modify prior to the expiration of the deadline it sought to extend pursuant to Rule 28-106.204, F.A.C. The deadline the OPC sought to extend is controlled by the </w:t>
      </w:r>
      <w:r>
        <w:rPr>
          <w:bCs/>
          <w:u w:val="none"/>
        </w:rPr>
        <w:lastRenderedPageBreak/>
        <w:t>Order Establishing Procedure in this case, Order No. PSC-2026-0242-PCO-SU (“OEP”). The OEP states:</w:t>
      </w:r>
    </w:p>
    <w:p w14:paraId="02CAF9D0" w14:textId="77777777" w:rsidR="009F77B9" w:rsidRDefault="009F77B9" w:rsidP="009F77B9">
      <w:pPr>
        <w:pStyle w:val="CenterUnderline"/>
        <w:jc w:val="both"/>
        <w:rPr>
          <w:bCs/>
          <w:u w:val="none"/>
        </w:rPr>
      </w:pPr>
    </w:p>
    <w:p w14:paraId="3FDE4FD8" w14:textId="77777777" w:rsidR="009F77B9" w:rsidRDefault="009F77B9" w:rsidP="00DD33B2">
      <w:pPr>
        <w:pStyle w:val="CenterUnderline"/>
        <w:ind w:left="720" w:right="720"/>
        <w:jc w:val="both"/>
        <w:rPr>
          <w:u w:val="none"/>
        </w:rPr>
      </w:pPr>
      <w:r w:rsidRPr="00EE2702">
        <w:rPr>
          <w:u w:val="none"/>
        </w:rPr>
        <w:t>Motions to strike any portion of the prefiled testimony and related portions of exhibits of any witness shall be made in writing no later than seven days prior to the Prehearing Conference and identify with specificity the page and line numbers of the information to be stricken.  Motions to strike any portion of prefiled testimony and related portions of exhibits at hearing shall be considered untimely, absent good cause shown.</w:t>
      </w:r>
    </w:p>
    <w:p w14:paraId="4EA9DC8C" w14:textId="77777777" w:rsidR="009F77B9" w:rsidRDefault="009F77B9" w:rsidP="009F77B9">
      <w:pPr>
        <w:pStyle w:val="CenterUnderline"/>
        <w:ind w:right="1440"/>
        <w:jc w:val="both"/>
        <w:rPr>
          <w:u w:val="none"/>
        </w:rPr>
      </w:pPr>
    </w:p>
    <w:p w14:paraId="618D8513" w14:textId="77777777" w:rsidR="00126DA0" w:rsidRDefault="00126DA0" w:rsidP="00126DA0">
      <w:pPr>
        <w:pStyle w:val="CenterUnderline"/>
        <w:ind w:firstLine="720"/>
        <w:jc w:val="both"/>
        <w:rPr>
          <w:bCs/>
          <w:i/>
          <w:iCs/>
          <w:u w:val="none"/>
        </w:rPr>
      </w:pPr>
      <w:r>
        <w:rPr>
          <w:bCs/>
          <w:i/>
          <w:iCs/>
          <w:u w:val="none"/>
        </w:rPr>
        <w:t>Decision</w:t>
      </w:r>
    </w:p>
    <w:p w14:paraId="46D7D830" w14:textId="77777777" w:rsidR="00126DA0" w:rsidRDefault="00126DA0" w:rsidP="009F77B9">
      <w:pPr>
        <w:pStyle w:val="CenterUnderline"/>
        <w:ind w:firstLine="720"/>
        <w:jc w:val="both"/>
        <w:rPr>
          <w:u w:val="none"/>
        </w:rPr>
      </w:pPr>
    </w:p>
    <w:p w14:paraId="657ED7D9" w14:textId="55F263CA" w:rsidR="009F77B9" w:rsidRDefault="009F77B9" w:rsidP="009F77B9">
      <w:pPr>
        <w:pStyle w:val="CenterUnderline"/>
        <w:ind w:firstLine="720"/>
        <w:jc w:val="both"/>
        <w:rPr>
          <w:bCs/>
          <w:u w:val="none"/>
        </w:rPr>
      </w:pPr>
      <w:r>
        <w:rPr>
          <w:u w:val="none"/>
        </w:rPr>
        <w:t>Nothing in OPC’s Motion demonstrat</w:t>
      </w:r>
      <w:r w:rsidR="00DD33B2">
        <w:rPr>
          <w:u w:val="none"/>
        </w:rPr>
        <w:t>es</w:t>
      </w:r>
      <w:r>
        <w:rPr>
          <w:u w:val="none"/>
        </w:rPr>
        <w:t xml:space="preserve"> th</w:t>
      </w:r>
      <w:r w:rsidR="00DD33B2">
        <w:rPr>
          <w:u w:val="none"/>
        </w:rPr>
        <w:t>e necessary</w:t>
      </w:r>
      <w:r>
        <w:rPr>
          <w:u w:val="none"/>
        </w:rPr>
        <w:t xml:space="preserve"> good cause to extend the motion to strike deadline. The good cause pleaded by OPC </w:t>
      </w:r>
      <w:r w:rsidR="00DD33B2">
        <w:rPr>
          <w:u w:val="none"/>
        </w:rPr>
        <w:t>is</w:t>
      </w:r>
      <w:r w:rsidR="00461694">
        <w:rPr>
          <w:u w:val="none"/>
        </w:rPr>
        <w:t xml:space="preserve"> speculative and t</w:t>
      </w:r>
      <w:r>
        <w:rPr>
          <w:u w:val="none"/>
        </w:rPr>
        <w:t>he phrase “absent good cause shown” within the OEP already contemplate</w:t>
      </w:r>
      <w:r w:rsidR="00DD33B2">
        <w:rPr>
          <w:u w:val="none"/>
        </w:rPr>
        <w:t>s</w:t>
      </w:r>
      <w:r>
        <w:rPr>
          <w:u w:val="none"/>
        </w:rPr>
        <w:t xml:space="preserve"> th</w:t>
      </w:r>
      <w:r w:rsidR="00DD33B2">
        <w:rPr>
          <w:u w:val="none"/>
        </w:rPr>
        <w:t>e</w:t>
      </w:r>
      <w:r>
        <w:rPr>
          <w:u w:val="none"/>
        </w:rPr>
        <w:t xml:space="preserve"> situation by providing an opportunity for a party to argue good cause has arisen for a motion to strike portions of prefiled testimony after the expiration of the deadline set by the OEP, even as late as the formal evidentiary hearing. While that may require a showing of good cause, it </w:t>
      </w:r>
      <w:r w:rsidR="00031CFF">
        <w:rPr>
          <w:u w:val="none"/>
        </w:rPr>
        <w:t>also affords OPC</w:t>
      </w:r>
      <w:r w:rsidRPr="00221BD7">
        <w:rPr>
          <w:bCs/>
          <w:u w:val="none"/>
        </w:rPr>
        <w:t xml:space="preserve"> the opportunity to adequately prepare and file a factually supported motion</w:t>
      </w:r>
      <w:r w:rsidR="00461694">
        <w:rPr>
          <w:bCs/>
          <w:u w:val="none"/>
        </w:rPr>
        <w:t>.</w:t>
      </w:r>
      <w:r w:rsidR="00031CFF">
        <w:rPr>
          <w:bCs/>
          <w:u w:val="none"/>
        </w:rPr>
        <w:t xml:space="preserve"> </w:t>
      </w:r>
      <w:r w:rsidR="00126DA0">
        <w:rPr>
          <w:bCs/>
          <w:u w:val="none"/>
        </w:rPr>
        <w:t>Therefore, OPC’s Motion to Modify is hereby denied.</w:t>
      </w:r>
    </w:p>
    <w:p w14:paraId="4072A3A7" w14:textId="77777777" w:rsidR="006D7992" w:rsidRPr="00F23F40" w:rsidRDefault="006D7992" w:rsidP="006D7992">
      <w:pPr>
        <w:pStyle w:val="CenterUnderline"/>
        <w:jc w:val="left"/>
        <w:rPr>
          <w:b/>
          <w:u w:val="none"/>
        </w:rPr>
      </w:pPr>
    </w:p>
    <w:p w14:paraId="106B99F4" w14:textId="7FFD981B" w:rsidR="009F77B9" w:rsidRDefault="009F77B9" w:rsidP="009F77B9">
      <w:pPr>
        <w:pStyle w:val="CenterUnderline"/>
        <w:jc w:val="both"/>
        <w:rPr>
          <w:bCs/>
        </w:rPr>
      </w:pPr>
      <w:r>
        <w:rPr>
          <w:bCs/>
        </w:rPr>
        <w:t>Motion to Strike</w:t>
      </w:r>
    </w:p>
    <w:p w14:paraId="22B1B059" w14:textId="77777777" w:rsidR="004C67DF" w:rsidRDefault="004C67DF" w:rsidP="009F77B9">
      <w:pPr>
        <w:pStyle w:val="CenterUnderline"/>
        <w:jc w:val="both"/>
        <w:rPr>
          <w:bCs/>
        </w:rPr>
      </w:pPr>
    </w:p>
    <w:p w14:paraId="0F58B5A1" w14:textId="07677AE8" w:rsidR="004C67DF" w:rsidRPr="004C67DF" w:rsidRDefault="004C67DF" w:rsidP="004C67DF">
      <w:pPr>
        <w:pStyle w:val="CenterUnderline"/>
        <w:ind w:firstLine="720"/>
        <w:jc w:val="both"/>
        <w:rPr>
          <w:bCs/>
          <w:i/>
          <w:iCs/>
          <w:u w:val="none"/>
        </w:rPr>
      </w:pPr>
      <w:r w:rsidRPr="004C67DF">
        <w:rPr>
          <w:bCs/>
          <w:i/>
          <w:iCs/>
          <w:u w:val="none"/>
        </w:rPr>
        <w:t>Motion</w:t>
      </w:r>
    </w:p>
    <w:p w14:paraId="0EDDE474" w14:textId="77777777" w:rsidR="009F77B9" w:rsidRDefault="009F77B9" w:rsidP="009F77B9">
      <w:pPr>
        <w:pStyle w:val="CenterUnderline"/>
        <w:jc w:val="both"/>
        <w:rPr>
          <w:bCs/>
        </w:rPr>
      </w:pPr>
    </w:p>
    <w:p w14:paraId="45408D99" w14:textId="2174169A" w:rsidR="006A3895" w:rsidRDefault="009F77B9" w:rsidP="00031CFF">
      <w:pPr>
        <w:pStyle w:val="CenterUnderline"/>
        <w:ind w:firstLine="720"/>
        <w:jc w:val="both"/>
        <w:rPr>
          <w:bCs/>
          <w:u w:val="none"/>
        </w:rPr>
      </w:pPr>
      <w:r>
        <w:rPr>
          <w:bCs/>
          <w:u w:val="none"/>
        </w:rPr>
        <w:t xml:space="preserve">OPC’s Motion to Strike argues </w:t>
      </w:r>
      <w:r w:rsidR="00031CFF">
        <w:rPr>
          <w:bCs/>
          <w:u w:val="none"/>
        </w:rPr>
        <w:t>that certain portions of CSWR witness Cox’s direct and rebuttal testimony and five sponsored exhibits should be stricken from</w:t>
      </w:r>
      <w:r w:rsidR="0028334C">
        <w:rPr>
          <w:bCs/>
          <w:u w:val="none"/>
        </w:rPr>
        <w:t>,</w:t>
      </w:r>
      <w:r w:rsidR="00031CFF">
        <w:rPr>
          <w:bCs/>
          <w:u w:val="none"/>
        </w:rPr>
        <w:t xml:space="preserve"> or not admitted to</w:t>
      </w:r>
      <w:r w:rsidR="0028334C">
        <w:rPr>
          <w:bCs/>
          <w:u w:val="none"/>
        </w:rPr>
        <w:t>,</w:t>
      </w:r>
      <w:r w:rsidR="00031CFF">
        <w:rPr>
          <w:bCs/>
          <w:u w:val="none"/>
        </w:rPr>
        <w:t xml:space="preserve"> the record. OPC argues that the Commission has </w:t>
      </w:r>
      <w:r w:rsidR="0028334C">
        <w:rPr>
          <w:bCs/>
          <w:u w:val="none"/>
        </w:rPr>
        <w:t xml:space="preserve">previously </w:t>
      </w:r>
      <w:r w:rsidR="00031CFF">
        <w:rPr>
          <w:bCs/>
          <w:u w:val="none"/>
        </w:rPr>
        <w:t>followed Rule 1.140(f), Fla. R. Civ. P., when considering motions to strike</w:t>
      </w:r>
      <w:r w:rsidR="006A3895">
        <w:rPr>
          <w:bCs/>
          <w:u w:val="none"/>
        </w:rPr>
        <w:t>, which provides that “a party may move to strike redundant, immaterial, impertinent, or scandalous matters from any pleading at any time.”</w:t>
      </w:r>
      <w:r w:rsidR="00031CFF">
        <w:rPr>
          <w:bCs/>
          <w:u w:val="none"/>
        </w:rPr>
        <w:t xml:space="preserve"> OPC also cites the language from the OEP regarding motions to strike quoted above. </w:t>
      </w:r>
    </w:p>
    <w:p w14:paraId="7FD01387" w14:textId="77777777" w:rsidR="006A3895" w:rsidRDefault="006A3895" w:rsidP="00031CFF">
      <w:pPr>
        <w:pStyle w:val="CenterUnderline"/>
        <w:ind w:firstLine="720"/>
        <w:jc w:val="both"/>
        <w:rPr>
          <w:bCs/>
          <w:u w:val="none"/>
        </w:rPr>
      </w:pPr>
    </w:p>
    <w:p w14:paraId="79948093" w14:textId="77777777" w:rsidR="00DD33B2" w:rsidRDefault="00076715" w:rsidP="00712F74">
      <w:pPr>
        <w:pStyle w:val="CenterUnderline"/>
        <w:ind w:firstLine="720"/>
        <w:jc w:val="both"/>
        <w:rPr>
          <w:bCs/>
          <w:u w:val="none"/>
        </w:rPr>
      </w:pPr>
      <w:r>
        <w:rPr>
          <w:bCs/>
          <w:u w:val="none"/>
        </w:rPr>
        <w:t>OPC argues</w:t>
      </w:r>
      <w:r w:rsidR="00DD33B2">
        <w:rPr>
          <w:bCs/>
          <w:u w:val="none"/>
        </w:rPr>
        <w:t>:</w:t>
      </w:r>
    </w:p>
    <w:p w14:paraId="225E6372" w14:textId="77777777" w:rsidR="00DD33B2" w:rsidRDefault="00DD33B2" w:rsidP="00712F74">
      <w:pPr>
        <w:pStyle w:val="CenterUnderline"/>
        <w:ind w:firstLine="720"/>
        <w:jc w:val="both"/>
        <w:rPr>
          <w:bCs/>
          <w:u w:val="none"/>
        </w:rPr>
      </w:pPr>
    </w:p>
    <w:p w14:paraId="7B74F9D4" w14:textId="2EF91DDB" w:rsidR="00DD33B2" w:rsidRDefault="00E66FB1" w:rsidP="00E66FB1">
      <w:pPr>
        <w:pStyle w:val="CenterUnderline"/>
        <w:ind w:left="720" w:right="720"/>
        <w:jc w:val="both"/>
        <w:rPr>
          <w:bCs/>
          <w:u w:val="none"/>
        </w:rPr>
      </w:pPr>
      <w:r>
        <w:rPr>
          <w:bCs/>
          <w:u w:val="none"/>
        </w:rPr>
        <w:t>I</w:t>
      </w:r>
      <w:r w:rsidR="00076715">
        <w:rPr>
          <w:bCs/>
          <w:u w:val="none"/>
        </w:rPr>
        <w:t>t is uncontested that CSWR needs to introduce the three appraisal reports and the reports authored by the engineer in order to meet the requirements under the alternative procedure for establishing rate base value of an acquired utility system. However, there is no carve out in section 367.0811, [F.S.] stating the Florida Rules of Evidence in Chapter 90 of Florida Statutes do not apply.</w:t>
      </w:r>
    </w:p>
    <w:p w14:paraId="6137806F" w14:textId="77777777" w:rsidR="00DD33B2" w:rsidRDefault="00DD33B2" w:rsidP="00DD33B2">
      <w:pPr>
        <w:pStyle w:val="CenterUnderline"/>
        <w:jc w:val="both"/>
        <w:rPr>
          <w:bCs/>
          <w:u w:val="none"/>
        </w:rPr>
      </w:pPr>
    </w:p>
    <w:p w14:paraId="72A59AFF" w14:textId="4DFFB173" w:rsidR="00AE3E23" w:rsidRPr="00AE3E23" w:rsidRDefault="00712F74" w:rsidP="00DD33B2">
      <w:pPr>
        <w:pStyle w:val="CenterUnderline"/>
        <w:jc w:val="both"/>
        <w:rPr>
          <w:u w:val="none"/>
        </w:rPr>
      </w:pPr>
      <w:r>
        <w:rPr>
          <w:bCs/>
          <w:u w:val="none"/>
        </w:rPr>
        <w:t xml:space="preserve">OPC points to several provisions of Chapter 90 of the Florida Statutes, otherwise known as the Florida Evidence Code, including </w:t>
      </w:r>
      <w:r w:rsidR="00DE7AE2">
        <w:rPr>
          <w:bCs/>
          <w:u w:val="none"/>
        </w:rPr>
        <w:t>S</w:t>
      </w:r>
      <w:r>
        <w:rPr>
          <w:bCs/>
          <w:u w:val="none"/>
        </w:rPr>
        <w:t xml:space="preserve">ections 90.604, 90.701, and 90.702, F.S. which OPC cites as limitations on what Witness Cox may or may not </w:t>
      </w:r>
      <w:r w:rsidR="0083630E">
        <w:rPr>
          <w:bCs/>
          <w:u w:val="none"/>
        </w:rPr>
        <w:t>permissibly</w:t>
      </w:r>
      <w:r>
        <w:rPr>
          <w:bCs/>
          <w:u w:val="none"/>
        </w:rPr>
        <w:t xml:space="preserve"> testify to. </w:t>
      </w:r>
      <w:r w:rsidR="00AE3E23">
        <w:rPr>
          <w:bCs/>
          <w:u w:val="none"/>
        </w:rPr>
        <w:t xml:space="preserve">OPC argues, relying on </w:t>
      </w:r>
      <w:r w:rsidR="00DE7AE2">
        <w:rPr>
          <w:bCs/>
          <w:u w:val="none"/>
        </w:rPr>
        <w:t>S</w:t>
      </w:r>
      <w:r w:rsidR="00AE3E23">
        <w:rPr>
          <w:bCs/>
          <w:u w:val="none"/>
        </w:rPr>
        <w:t xml:space="preserve">ection 90.701, F.S., that “Mr. Cox is not permitted to provide inference or opinion testimony as </w:t>
      </w:r>
      <w:r w:rsidR="00AE3E23">
        <w:rPr>
          <w:bCs/>
          <w:u w:val="none"/>
        </w:rPr>
        <w:lastRenderedPageBreak/>
        <w:t xml:space="preserve">a lay witness when it prejudices the objecting party, </w:t>
      </w:r>
      <w:r w:rsidR="00AE3E23" w:rsidRPr="004C67DF">
        <w:rPr>
          <w:bCs/>
          <w:u w:val="none"/>
        </w:rPr>
        <w:t>and</w:t>
      </w:r>
      <w:r w:rsidR="00AE3E23">
        <w:rPr>
          <w:u w:val="none"/>
        </w:rPr>
        <w:t xml:space="preserve"> those inferences or opinions require special knowledge, skill, experience, or training.” </w:t>
      </w:r>
    </w:p>
    <w:p w14:paraId="3FE6126C" w14:textId="77777777" w:rsidR="00AE3E23" w:rsidRDefault="00AE3E23" w:rsidP="00712F74">
      <w:pPr>
        <w:pStyle w:val="CenterUnderline"/>
        <w:ind w:firstLine="720"/>
        <w:jc w:val="both"/>
        <w:rPr>
          <w:bCs/>
          <w:u w:val="none"/>
        </w:rPr>
      </w:pPr>
    </w:p>
    <w:p w14:paraId="5634722B" w14:textId="3C64E29C" w:rsidR="001C5007" w:rsidRDefault="00712F74" w:rsidP="00031CFF">
      <w:pPr>
        <w:pStyle w:val="CenterUnderline"/>
        <w:ind w:firstLine="720"/>
        <w:jc w:val="both"/>
        <w:rPr>
          <w:bCs/>
          <w:u w:val="none"/>
        </w:rPr>
      </w:pPr>
      <w:r>
        <w:rPr>
          <w:bCs/>
          <w:u w:val="none"/>
        </w:rPr>
        <w:t xml:space="preserve">In addition, OPC argues that the portions of the Florida Evidence Code that deal with hearsay, including </w:t>
      </w:r>
      <w:r w:rsidR="00DE7AE2">
        <w:rPr>
          <w:bCs/>
          <w:u w:val="none"/>
        </w:rPr>
        <w:t>S</w:t>
      </w:r>
      <w:r>
        <w:rPr>
          <w:bCs/>
          <w:u w:val="none"/>
        </w:rPr>
        <w:t>ections 90.801(1)(b) and 90.803(6)</w:t>
      </w:r>
      <w:r w:rsidR="0028334C">
        <w:rPr>
          <w:bCs/>
          <w:u w:val="none"/>
        </w:rPr>
        <w:t xml:space="preserve"> apply</w:t>
      </w:r>
      <w:r w:rsidR="002048A4">
        <w:rPr>
          <w:bCs/>
          <w:u w:val="none"/>
        </w:rPr>
        <w:t xml:space="preserve">, which define hearsay and the business record hearsay exception, respectively, and operate to preclude the admission of the exhibits in question. </w:t>
      </w:r>
      <w:r w:rsidR="001C5007">
        <w:rPr>
          <w:bCs/>
          <w:u w:val="none"/>
        </w:rPr>
        <w:t xml:space="preserve">OPC argues that </w:t>
      </w:r>
      <w:r w:rsidR="002048A4">
        <w:rPr>
          <w:bCs/>
          <w:u w:val="none"/>
        </w:rPr>
        <w:t xml:space="preserve">“applying the various </w:t>
      </w:r>
      <w:r w:rsidR="00DE7AE2">
        <w:rPr>
          <w:bCs/>
          <w:u w:val="none"/>
        </w:rPr>
        <w:t>S</w:t>
      </w:r>
      <w:r w:rsidR="002048A4">
        <w:rPr>
          <w:bCs/>
          <w:u w:val="none"/>
        </w:rPr>
        <w:t>ections of chapter 90, [F.S.], CSWR has failed to lay the foundation for Josiah Cox’s testimony relating to the five exhibits as well as for the five exhibits themselves</w:t>
      </w:r>
      <w:r w:rsidR="00500E03">
        <w:rPr>
          <w:bCs/>
          <w:u w:val="none"/>
        </w:rPr>
        <w:t>.</w:t>
      </w:r>
      <w:r w:rsidR="002048A4">
        <w:rPr>
          <w:bCs/>
          <w:u w:val="none"/>
        </w:rPr>
        <w:t>”</w:t>
      </w:r>
      <w:r w:rsidR="00500E03">
        <w:rPr>
          <w:bCs/>
          <w:u w:val="none"/>
        </w:rPr>
        <w:t xml:space="preserve"> </w:t>
      </w:r>
    </w:p>
    <w:p w14:paraId="1470BCEB" w14:textId="77777777" w:rsidR="001C5007" w:rsidRDefault="001C5007" w:rsidP="00031CFF">
      <w:pPr>
        <w:pStyle w:val="CenterUnderline"/>
        <w:ind w:firstLine="720"/>
        <w:jc w:val="both"/>
        <w:rPr>
          <w:bCs/>
          <w:u w:val="none"/>
        </w:rPr>
      </w:pPr>
    </w:p>
    <w:p w14:paraId="44E8BB45" w14:textId="7FDE2AB6" w:rsidR="00076715" w:rsidRPr="00F1518F" w:rsidRDefault="00076715" w:rsidP="00031CFF">
      <w:pPr>
        <w:pStyle w:val="CenterUnderline"/>
        <w:ind w:firstLine="720"/>
        <w:jc w:val="both"/>
        <w:rPr>
          <w:bCs/>
          <w:u w:val="none"/>
        </w:rPr>
      </w:pPr>
      <w:r>
        <w:rPr>
          <w:bCs/>
          <w:u w:val="none"/>
        </w:rPr>
        <w:t>OPC</w:t>
      </w:r>
      <w:r w:rsidR="006A3895">
        <w:rPr>
          <w:bCs/>
          <w:u w:val="none"/>
        </w:rPr>
        <w:t>’s Motion to Strike</w:t>
      </w:r>
      <w:r>
        <w:rPr>
          <w:bCs/>
          <w:u w:val="none"/>
        </w:rPr>
        <w:t xml:space="preserve"> also </w:t>
      </w:r>
      <w:r w:rsidR="002048A4">
        <w:rPr>
          <w:bCs/>
          <w:u w:val="none"/>
        </w:rPr>
        <w:t>argues</w:t>
      </w:r>
      <w:r>
        <w:rPr>
          <w:bCs/>
          <w:u w:val="none"/>
        </w:rPr>
        <w:t xml:space="preserve"> the </w:t>
      </w:r>
      <w:r w:rsidRPr="00BF5E50">
        <w:rPr>
          <w:bCs/>
          <w:i/>
          <w:iCs/>
          <w:u w:val="none"/>
        </w:rPr>
        <w:t>Daubert</w:t>
      </w:r>
      <w:r w:rsidR="00A8746F">
        <w:rPr>
          <w:rStyle w:val="FootnoteReference"/>
          <w:bCs/>
          <w:i/>
          <w:iCs/>
          <w:u w:val="none"/>
        </w:rPr>
        <w:footnoteReference w:id="1"/>
      </w:r>
      <w:r>
        <w:rPr>
          <w:bCs/>
          <w:u w:val="none"/>
        </w:rPr>
        <w:t xml:space="preserve"> standard</w:t>
      </w:r>
      <w:r w:rsidR="002048A4">
        <w:rPr>
          <w:bCs/>
          <w:u w:val="none"/>
        </w:rPr>
        <w:t xml:space="preserve"> should apply</w:t>
      </w:r>
      <w:r>
        <w:rPr>
          <w:bCs/>
          <w:u w:val="none"/>
        </w:rPr>
        <w:t xml:space="preserve"> “assuming arguendo that CSWR changes their mind and calls Mr. Cox as an expert witness.”</w:t>
      </w:r>
      <w:r w:rsidR="002048A4">
        <w:rPr>
          <w:bCs/>
          <w:u w:val="none"/>
        </w:rPr>
        <w:t xml:space="preserve"> OPC argues that</w:t>
      </w:r>
      <w:r w:rsidR="00F1518F">
        <w:rPr>
          <w:bCs/>
          <w:u w:val="none"/>
        </w:rPr>
        <w:t xml:space="preserve"> “</w:t>
      </w:r>
      <w:r w:rsidR="004956B5">
        <w:rPr>
          <w:bCs/>
          <w:u w:val="none"/>
        </w:rPr>
        <w:t>[w]</w:t>
      </w:r>
      <w:r w:rsidR="00F1518F">
        <w:rPr>
          <w:bCs/>
          <w:u w:val="none"/>
        </w:rPr>
        <w:t xml:space="preserve">hen an expert’s testimony acts as a conduit for inadmissible hearsay, the evidence is presented to the jury without affording the opposing party an </w:t>
      </w:r>
      <w:r w:rsidR="0083630E">
        <w:rPr>
          <w:bCs/>
          <w:u w:val="none"/>
        </w:rPr>
        <w:t>opportunity</w:t>
      </w:r>
      <w:r w:rsidR="00F1518F">
        <w:rPr>
          <w:bCs/>
          <w:u w:val="none"/>
        </w:rPr>
        <w:t xml:space="preserve"> to cross-examine and impeach the source of the hearsay.” </w:t>
      </w:r>
      <w:r w:rsidR="00F1518F">
        <w:rPr>
          <w:bCs/>
          <w:i/>
          <w:iCs/>
          <w:u w:val="none"/>
        </w:rPr>
        <w:t>Doctors Co. v. Dep’t of Ins.</w:t>
      </w:r>
      <w:r w:rsidR="00F1518F">
        <w:rPr>
          <w:bCs/>
          <w:u w:val="none"/>
        </w:rPr>
        <w:t xml:space="preserve">, 940 So.2d 466, 470 (Fla. </w:t>
      </w:r>
      <w:r w:rsidR="004956B5">
        <w:rPr>
          <w:bCs/>
          <w:u w:val="none"/>
        </w:rPr>
        <w:t>1st</w:t>
      </w:r>
      <w:r w:rsidR="00F1518F">
        <w:rPr>
          <w:bCs/>
          <w:u w:val="none"/>
        </w:rPr>
        <w:t xml:space="preserve"> DCA 2006).</w:t>
      </w:r>
    </w:p>
    <w:p w14:paraId="75016E3D" w14:textId="77777777" w:rsidR="00076715" w:rsidRDefault="00076715" w:rsidP="00031CFF">
      <w:pPr>
        <w:pStyle w:val="CenterUnderline"/>
        <w:ind w:firstLine="720"/>
        <w:jc w:val="both"/>
        <w:rPr>
          <w:bCs/>
          <w:u w:val="none"/>
        </w:rPr>
      </w:pPr>
    </w:p>
    <w:p w14:paraId="1BC283A7" w14:textId="274A2E45" w:rsidR="004C67DF" w:rsidRPr="004C67DF" w:rsidRDefault="004C67DF" w:rsidP="00031CFF">
      <w:pPr>
        <w:pStyle w:val="CenterUnderline"/>
        <w:ind w:firstLine="720"/>
        <w:jc w:val="both"/>
        <w:rPr>
          <w:bCs/>
          <w:u w:val="none"/>
        </w:rPr>
      </w:pPr>
      <w:r>
        <w:rPr>
          <w:bCs/>
          <w:i/>
          <w:iCs/>
          <w:u w:val="none"/>
        </w:rPr>
        <w:t>Response</w:t>
      </w:r>
    </w:p>
    <w:p w14:paraId="410438ED" w14:textId="77777777" w:rsidR="004C67DF" w:rsidRDefault="004C67DF" w:rsidP="00031CFF">
      <w:pPr>
        <w:pStyle w:val="CenterUnderline"/>
        <w:ind w:firstLine="720"/>
        <w:jc w:val="both"/>
        <w:rPr>
          <w:bCs/>
          <w:u w:val="none"/>
        </w:rPr>
      </w:pPr>
    </w:p>
    <w:p w14:paraId="1D26198A" w14:textId="7D384E73" w:rsidR="001C5007" w:rsidRDefault="00076715" w:rsidP="00031CFF">
      <w:pPr>
        <w:pStyle w:val="CenterUnderline"/>
        <w:ind w:firstLine="720"/>
        <w:jc w:val="both"/>
        <w:rPr>
          <w:bCs/>
          <w:u w:val="none"/>
        </w:rPr>
      </w:pPr>
      <w:r>
        <w:rPr>
          <w:bCs/>
          <w:u w:val="none"/>
        </w:rPr>
        <w:t>CSWR’s Response argues that OPC’s reliance on the Florida Evidence Code is misplaced</w:t>
      </w:r>
      <w:r w:rsidR="001C5007">
        <w:rPr>
          <w:bCs/>
          <w:u w:val="none"/>
        </w:rPr>
        <w:t xml:space="preserve">, and that while </w:t>
      </w:r>
      <w:r w:rsidR="00DE7AE2">
        <w:rPr>
          <w:bCs/>
          <w:u w:val="none"/>
        </w:rPr>
        <w:t>S</w:t>
      </w:r>
      <w:r w:rsidR="001C5007">
        <w:rPr>
          <w:bCs/>
          <w:u w:val="none"/>
        </w:rPr>
        <w:t xml:space="preserve">ection 367.0811, F.S., does not contain any carve out for the Florida Evidence Code, Chapter 120 does contain such a carve out, specifically, </w:t>
      </w:r>
      <w:r w:rsidR="004956B5">
        <w:rPr>
          <w:bCs/>
          <w:u w:val="none"/>
        </w:rPr>
        <w:t>S</w:t>
      </w:r>
      <w:r w:rsidR="001C5007">
        <w:rPr>
          <w:bCs/>
          <w:u w:val="none"/>
        </w:rPr>
        <w:t xml:space="preserve">ection 120.569(2)(g), F.S. This </w:t>
      </w:r>
      <w:r w:rsidR="00DE7AE2">
        <w:rPr>
          <w:bCs/>
          <w:u w:val="none"/>
        </w:rPr>
        <w:t>S</w:t>
      </w:r>
      <w:r w:rsidR="001C5007">
        <w:rPr>
          <w:bCs/>
          <w:u w:val="none"/>
        </w:rPr>
        <w:t>ection states</w:t>
      </w:r>
      <w:r w:rsidR="004956B5">
        <w:rPr>
          <w:bCs/>
          <w:u w:val="none"/>
        </w:rPr>
        <w:t>:</w:t>
      </w:r>
      <w:r w:rsidR="001C5007">
        <w:rPr>
          <w:bCs/>
          <w:u w:val="none"/>
        </w:rPr>
        <w:t xml:space="preserve">  </w:t>
      </w:r>
    </w:p>
    <w:p w14:paraId="3BA2031B" w14:textId="77777777" w:rsidR="001C5007" w:rsidRDefault="001C5007" w:rsidP="00031CFF">
      <w:pPr>
        <w:pStyle w:val="CenterUnderline"/>
        <w:ind w:firstLine="720"/>
        <w:jc w:val="both"/>
        <w:rPr>
          <w:bCs/>
          <w:u w:val="none"/>
        </w:rPr>
      </w:pPr>
    </w:p>
    <w:p w14:paraId="158D4A66" w14:textId="6806944C" w:rsidR="001C5007" w:rsidRDefault="001C5007" w:rsidP="004956B5">
      <w:pPr>
        <w:pStyle w:val="CenterUnderline"/>
        <w:ind w:left="720" w:right="720"/>
        <w:jc w:val="both"/>
        <w:rPr>
          <w:bCs/>
          <w:u w:val="none"/>
        </w:rPr>
      </w:pPr>
      <w:r w:rsidRPr="001C5007">
        <w:rPr>
          <w:bCs/>
          <w:u w:val="none"/>
        </w:rPr>
        <w:t>Irrelevant, immaterial, or unduly repetitious evidence shall be excluded, but all other evidence of a type commonly relied upon by reasonably prudent persons in the conduct of their affairs shall be admissible, whether or not such evidence would be admissible in a trial in the courts of Florida. Any part of the evidence may be received in written form, and all testimony of parties and witnesses shall be made under oath.</w:t>
      </w:r>
    </w:p>
    <w:p w14:paraId="0D89D5FA" w14:textId="77777777" w:rsidR="001C5007" w:rsidRDefault="001C5007" w:rsidP="00031CFF">
      <w:pPr>
        <w:pStyle w:val="CenterUnderline"/>
        <w:ind w:firstLine="720"/>
        <w:jc w:val="both"/>
        <w:rPr>
          <w:bCs/>
          <w:u w:val="none"/>
        </w:rPr>
      </w:pPr>
    </w:p>
    <w:p w14:paraId="1E9480BD" w14:textId="33EE5F32" w:rsidR="00494A88" w:rsidRDefault="006A3895" w:rsidP="00F1518F">
      <w:pPr>
        <w:pStyle w:val="CenterUnderline"/>
        <w:ind w:firstLine="720"/>
        <w:jc w:val="both"/>
        <w:rPr>
          <w:bCs/>
          <w:u w:val="none"/>
        </w:rPr>
      </w:pPr>
      <w:r>
        <w:rPr>
          <w:bCs/>
          <w:u w:val="none"/>
        </w:rPr>
        <w:t>While agreeing that the standard for granting a motion to strike is “redundant, immaterial, impertinent, or scandalous”, CSWR argues that striking prefiled testimony is strongly disfavored and that nothing in Witness Cox’s testimony meets the standard for such an extreme measure</w:t>
      </w:r>
      <w:r w:rsidR="004956B5">
        <w:rPr>
          <w:bCs/>
          <w:u w:val="none"/>
        </w:rPr>
        <w:t xml:space="preserve">, </w:t>
      </w:r>
      <w:r w:rsidR="00E66FB1">
        <w:rPr>
          <w:bCs/>
          <w:u w:val="none"/>
        </w:rPr>
        <w:t xml:space="preserve">CSWR </w:t>
      </w:r>
      <w:r w:rsidR="004956B5">
        <w:rPr>
          <w:bCs/>
          <w:u w:val="none"/>
        </w:rPr>
        <w:t>points to the Prehearing Order issued in Docket 20260020-EI as support</w:t>
      </w:r>
      <w:r w:rsidR="00E66FB1">
        <w:rPr>
          <w:bCs/>
          <w:u w:val="none"/>
        </w:rPr>
        <w:t xml:space="preserve"> and</w:t>
      </w:r>
      <w:r w:rsidR="00527DE5">
        <w:rPr>
          <w:bCs/>
          <w:u w:val="none"/>
        </w:rPr>
        <w:t xml:space="preserve"> </w:t>
      </w:r>
      <w:r w:rsidR="00FD5C8E">
        <w:rPr>
          <w:bCs/>
          <w:u w:val="none"/>
        </w:rPr>
        <w:t>further argues that a motion to strike should only be granted “if the matters that are subject to the motion are completely irrelevant and have no bearing on the decision.”</w:t>
      </w:r>
      <w:r w:rsidR="00527DE5">
        <w:rPr>
          <w:bCs/>
          <w:u w:val="none"/>
        </w:rPr>
        <w:t xml:space="preserve"> </w:t>
      </w:r>
      <w:r w:rsidR="004956B5" w:rsidRPr="00527DE5">
        <w:rPr>
          <w:i/>
          <w:iCs/>
          <w:u w:val="none"/>
        </w:rPr>
        <w:t xml:space="preserve">See </w:t>
      </w:r>
      <w:r w:rsidR="004956B5" w:rsidRPr="00527DE5">
        <w:rPr>
          <w:u w:val="none"/>
        </w:rPr>
        <w:t>Order No. PSC-2026-0091-PHO-EI</w:t>
      </w:r>
      <w:r w:rsidR="004956B5" w:rsidRPr="00527DE5">
        <w:rPr>
          <w:i/>
          <w:iCs/>
          <w:u w:val="none"/>
        </w:rPr>
        <w:t>,</w:t>
      </w:r>
      <w:r w:rsidR="004956B5">
        <w:rPr>
          <w:i/>
          <w:iCs/>
          <w:u w:val="none"/>
        </w:rPr>
        <w:t xml:space="preserve"> </w:t>
      </w:r>
      <w:r w:rsidR="004956B5">
        <w:rPr>
          <w:u w:val="none"/>
        </w:rPr>
        <w:t>issued April 15, 2026, in</w:t>
      </w:r>
      <w:r w:rsidR="004956B5" w:rsidRPr="00527DE5">
        <w:rPr>
          <w:i/>
          <w:iCs/>
          <w:u w:val="none"/>
        </w:rPr>
        <w:t xml:space="preserve"> </w:t>
      </w:r>
      <w:r w:rsidR="004956B5" w:rsidRPr="00527DE5">
        <w:rPr>
          <w:u w:val="none"/>
        </w:rPr>
        <w:t>Docket No. 20260020-EI</w:t>
      </w:r>
      <w:r w:rsidR="004956B5" w:rsidRPr="00527DE5">
        <w:rPr>
          <w:i/>
          <w:iCs/>
          <w:u w:val="none"/>
        </w:rPr>
        <w:t>, In Re: Petition for determination of need for Andytown-Oasis transmission lines project in Broward and Miami-Dad</w:t>
      </w:r>
      <w:r w:rsidR="0083630E">
        <w:rPr>
          <w:i/>
          <w:iCs/>
          <w:u w:val="none"/>
        </w:rPr>
        <w:t>e</w:t>
      </w:r>
      <w:r w:rsidR="004956B5" w:rsidRPr="00527DE5">
        <w:rPr>
          <w:i/>
          <w:iCs/>
          <w:u w:val="none"/>
        </w:rPr>
        <w:t xml:space="preserve"> Cntys., by Florida Power &amp; Light Co.</w:t>
      </w:r>
      <w:r w:rsidR="00527DE5">
        <w:rPr>
          <w:bCs/>
          <w:u w:val="none"/>
        </w:rPr>
        <w:t xml:space="preserve"> CSWR contends that Witness Cox testifies to his personal knowledge of CSWR’s compliance with the applicable statute, and his testimony is authenticated with appropriate supporting exhibits. </w:t>
      </w:r>
      <w:r w:rsidR="00494A88">
        <w:rPr>
          <w:bCs/>
          <w:u w:val="none"/>
        </w:rPr>
        <w:t xml:space="preserve">In regard to OPC’s </w:t>
      </w:r>
      <w:r w:rsidR="00494A88" w:rsidRPr="00527DE5">
        <w:rPr>
          <w:bCs/>
          <w:i/>
          <w:iCs/>
          <w:u w:val="none"/>
        </w:rPr>
        <w:t>Daubert</w:t>
      </w:r>
      <w:r w:rsidR="00494A88">
        <w:rPr>
          <w:bCs/>
          <w:u w:val="none"/>
        </w:rPr>
        <w:t xml:space="preserve"> argument, CSWR affirmed that </w:t>
      </w:r>
      <w:r w:rsidR="00494A88">
        <w:rPr>
          <w:bCs/>
          <w:u w:val="none"/>
        </w:rPr>
        <w:lastRenderedPageBreak/>
        <w:t xml:space="preserve">it is not offering Mr. Cox as an expert witness, and therefore the </w:t>
      </w:r>
      <w:r w:rsidR="00494A88" w:rsidRPr="00527DE5">
        <w:rPr>
          <w:bCs/>
          <w:i/>
          <w:iCs/>
          <w:u w:val="none"/>
        </w:rPr>
        <w:t>Daubert</w:t>
      </w:r>
      <w:r w:rsidR="00494A88">
        <w:rPr>
          <w:bCs/>
          <w:u w:val="none"/>
        </w:rPr>
        <w:t xml:space="preserve"> standard is not applicable</w:t>
      </w:r>
      <w:r w:rsidR="00527DE5">
        <w:rPr>
          <w:bCs/>
          <w:u w:val="none"/>
        </w:rPr>
        <w:t xml:space="preserve"> as it does not apply to lay testimony</w:t>
      </w:r>
      <w:r w:rsidR="00494A88">
        <w:rPr>
          <w:bCs/>
          <w:u w:val="none"/>
        </w:rPr>
        <w:t xml:space="preserve">. </w:t>
      </w:r>
    </w:p>
    <w:p w14:paraId="679C685C" w14:textId="77777777" w:rsidR="004C67DF" w:rsidRDefault="004C67DF" w:rsidP="00F1518F">
      <w:pPr>
        <w:pStyle w:val="CenterUnderline"/>
        <w:ind w:firstLine="720"/>
        <w:jc w:val="both"/>
        <w:rPr>
          <w:bCs/>
          <w:u w:val="none"/>
        </w:rPr>
      </w:pPr>
    </w:p>
    <w:p w14:paraId="5828FA59" w14:textId="1F2588B2" w:rsidR="004C67DF" w:rsidRPr="004C67DF" w:rsidRDefault="004C67DF" w:rsidP="00F1518F">
      <w:pPr>
        <w:pStyle w:val="CenterUnderline"/>
        <w:ind w:firstLine="720"/>
        <w:jc w:val="both"/>
        <w:rPr>
          <w:bCs/>
          <w:i/>
          <w:iCs/>
          <w:u w:val="none"/>
        </w:rPr>
      </w:pPr>
      <w:r>
        <w:rPr>
          <w:bCs/>
          <w:i/>
          <w:iCs/>
          <w:u w:val="none"/>
        </w:rPr>
        <w:t>Decision</w:t>
      </w:r>
    </w:p>
    <w:p w14:paraId="26A818A2" w14:textId="4ED79664" w:rsidR="00F1518F" w:rsidRDefault="00F1518F" w:rsidP="00AE3E23">
      <w:pPr>
        <w:pStyle w:val="CenterUnderline"/>
        <w:jc w:val="both"/>
        <w:rPr>
          <w:bCs/>
          <w:u w:val="none"/>
        </w:rPr>
      </w:pPr>
    </w:p>
    <w:p w14:paraId="71004C95" w14:textId="1AED5C8F" w:rsidR="00AE3E23" w:rsidRDefault="00AE3E23" w:rsidP="00AE3E23">
      <w:pPr>
        <w:pStyle w:val="CenterUnderline"/>
        <w:jc w:val="both"/>
        <w:rPr>
          <w:bCs/>
          <w:u w:val="none"/>
        </w:rPr>
      </w:pPr>
      <w:r>
        <w:rPr>
          <w:bCs/>
          <w:u w:val="none"/>
        </w:rPr>
        <w:tab/>
      </w:r>
      <w:r w:rsidRPr="00AE3E23">
        <w:rPr>
          <w:bCs/>
          <w:u w:val="none"/>
        </w:rPr>
        <w:t>Rule 1.140(f), Florida Rules of Civil Procedure, states that a party may move to strike or</w:t>
      </w:r>
      <w:r>
        <w:rPr>
          <w:bCs/>
          <w:u w:val="none"/>
        </w:rPr>
        <w:t xml:space="preserve"> </w:t>
      </w:r>
      <w:r w:rsidRPr="00AE3E23">
        <w:rPr>
          <w:bCs/>
          <w:u w:val="none"/>
        </w:rPr>
        <w:t>the court may strike redundant, immaterial, impertinent, or scandalous matter from any pleading</w:t>
      </w:r>
      <w:r>
        <w:rPr>
          <w:bCs/>
          <w:u w:val="none"/>
        </w:rPr>
        <w:t xml:space="preserve"> </w:t>
      </w:r>
      <w:r w:rsidRPr="00AE3E23">
        <w:rPr>
          <w:bCs/>
          <w:u w:val="none"/>
        </w:rPr>
        <w:t>at any time. Although Rule 1.140(f), Fla</w:t>
      </w:r>
      <w:r w:rsidR="00402B55">
        <w:rPr>
          <w:bCs/>
          <w:u w:val="none"/>
        </w:rPr>
        <w:t>.</w:t>
      </w:r>
      <w:r w:rsidRPr="00AE3E23">
        <w:rPr>
          <w:bCs/>
          <w:u w:val="none"/>
        </w:rPr>
        <w:t xml:space="preserve"> R</w:t>
      </w:r>
      <w:r w:rsidR="00402B55">
        <w:rPr>
          <w:bCs/>
          <w:u w:val="none"/>
        </w:rPr>
        <w:t>.</w:t>
      </w:r>
      <w:r w:rsidRPr="00AE3E23">
        <w:rPr>
          <w:bCs/>
          <w:u w:val="none"/>
        </w:rPr>
        <w:t xml:space="preserve"> of Civ</w:t>
      </w:r>
      <w:r w:rsidR="00402B55">
        <w:rPr>
          <w:bCs/>
          <w:u w:val="none"/>
        </w:rPr>
        <w:t xml:space="preserve">. </w:t>
      </w:r>
      <w:r w:rsidRPr="00AE3E23">
        <w:rPr>
          <w:bCs/>
          <w:u w:val="none"/>
        </w:rPr>
        <w:t>P</w:t>
      </w:r>
      <w:r w:rsidR="00402B55">
        <w:rPr>
          <w:bCs/>
          <w:u w:val="none"/>
        </w:rPr>
        <w:t>.</w:t>
      </w:r>
      <w:r w:rsidRPr="00AE3E23">
        <w:rPr>
          <w:bCs/>
          <w:u w:val="none"/>
        </w:rPr>
        <w:t>, does not control in</w:t>
      </w:r>
      <w:r>
        <w:rPr>
          <w:bCs/>
          <w:u w:val="none"/>
        </w:rPr>
        <w:t xml:space="preserve"> </w:t>
      </w:r>
      <w:r w:rsidRPr="00AE3E23">
        <w:rPr>
          <w:bCs/>
          <w:u w:val="none"/>
        </w:rPr>
        <w:t>administrative proceedings, we have used the rule as guidance when ruling on motions to strike</w:t>
      </w:r>
      <w:r>
        <w:rPr>
          <w:bCs/>
          <w:u w:val="none"/>
        </w:rPr>
        <w:t xml:space="preserve"> </w:t>
      </w:r>
      <w:r w:rsidRPr="00AE3E23">
        <w:rPr>
          <w:bCs/>
          <w:u w:val="none"/>
        </w:rPr>
        <w:t xml:space="preserve">testimony. </w:t>
      </w:r>
      <w:r w:rsidRPr="00AE3E23">
        <w:rPr>
          <w:bCs/>
          <w:i/>
          <w:iCs/>
          <w:u w:val="none"/>
        </w:rPr>
        <w:t>E.g.</w:t>
      </w:r>
      <w:r w:rsidRPr="00AE3E23">
        <w:rPr>
          <w:bCs/>
          <w:u w:val="none"/>
        </w:rPr>
        <w:t xml:space="preserve">, Order No. PSC-99-1809-PCO-WS, issued September 20, 1999, in Docket 971220-WS, </w:t>
      </w:r>
      <w:r w:rsidRPr="00AE3E23">
        <w:rPr>
          <w:bCs/>
          <w:i/>
          <w:iCs/>
          <w:u w:val="none"/>
        </w:rPr>
        <w:t>In re: Application for</w:t>
      </w:r>
      <w:r>
        <w:rPr>
          <w:bCs/>
          <w:i/>
          <w:iCs/>
          <w:u w:val="none"/>
        </w:rPr>
        <w:t xml:space="preserve"> </w:t>
      </w:r>
      <w:r w:rsidRPr="00AE3E23">
        <w:rPr>
          <w:bCs/>
          <w:i/>
          <w:iCs/>
          <w:u w:val="none"/>
        </w:rPr>
        <w:t>transfer of Certificates Nos. 592-W and 509-S from Cypress Lakes Associates, Ltd. to Cypress</w:t>
      </w:r>
      <w:r>
        <w:rPr>
          <w:bCs/>
          <w:i/>
          <w:iCs/>
          <w:u w:val="none"/>
        </w:rPr>
        <w:t xml:space="preserve"> </w:t>
      </w:r>
      <w:r w:rsidRPr="00AE3E23">
        <w:rPr>
          <w:bCs/>
          <w:i/>
          <w:iCs/>
          <w:u w:val="none"/>
        </w:rPr>
        <w:t>Lakes Utilities, Inc. in Polk County</w:t>
      </w:r>
      <w:r w:rsidRPr="00AE3E23">
        <w:rPr>
          <w:bCs/>
          <w:u w:val="none"/>
        </w:rPr>
        <w:t>. A motion to strike should only be granted if the matters that</w:t>
      </w:r>
      <w:r>
        <w:rPr>
          <w:bCs/>
          <w:u w:val="none"/>
        </w:rPr>
        <w:t xml:space="preserve"> </w:t>
      </w:r>
      <w:r w:rsidRPr="00AE3E23">
        <w:rPr>
          <w:bCs/>
          <w:u w:val="none"/>
        </w:rPr>
        <w:t xml:space="preserve">are subject to the motion are completely irrelevant and have no bearing on the decision. </w:t>
      </w:r>
      <w:r w:rsidRPr="00AE3E23">
        <w:rPr>
          <w:bCs/>
          <w:i/>
          <w:iCs/>
          <w:u w:val="none"/>
        </w:rPr>
        <w:t>See Bay</w:t>
      </w:r>
      <w:r>
        <w:rPr>
          <w:bCs/>
          <w:i/>
          <w:iCs/>
          <w:u w:val="none"/>
        </w:rPr>
        <w:t xml:space="preserve"> </w:t>
      </w:r>
      <w:r w:rsidRPr="00AE3E23">
        <w:rPr>
          <w:bCs/>
          <w:i/>
          <w:iCs/>
          <w:u w:val="none"/>
        </w:rPr>
        <w:t>Colony Office Bldg. Joint Venture v. Wachovia Mortgage Co.</w:t>
      </w:r>
      <w:r w:rsidRPr="00AE3E23">
        <w:rPr>
          <w:bCs/>
          <w:u w:val="none"/>
        </w:rPr>
        <w:t>, 342 So. 2d 1005 (Fla. 5th DCA</w:t>
      </w:r>
      <w:r>
        <w:rPr>
          <w:bCs/>
          <w:u w:val="none"/>
        </w:rPr>
        <w:t xml:space="preserve"> </w:t>
      </w:r>
      <w:r w:rsidRPr="00AE3E23">
        <w:rPr>
          <w:bCs/>
          <w:u w:val="none"/>
        </w:rPr>
        <w:t xml:space="preserve">1977). An order granting a motion to strike is reviewed for abuse of discretion. </w:t>
      </w:r>
      <w:r w:rsidRPr="00AE3E23">
        <w:rPr>
          <w:bCs/>
          <w:i/>
          <w:iCs/>
          <w:u w:val="none"/>
        </w:rPr>
        <w:t>Upland Dev. Of</w:t>
      </w:r>
      <w:r>
        <w:rPr>
          <w:bCs/>
          <w:i/>
          <w:iCs/>
          <w:u w:val="none"/>
        </w:rPr>
        <w:t xml:space="preserve"> </w:t>
      </w:r>
      <w:r w:rsidRPr="00AE3E23">
        <w:rPr>
          <w:bCs/>
          <w:i/>
          <w:iCs/>
          <w:u w:val="none"/>
        </w:rPr>
        <w:t>Cent. Florida, Inc. v. Bridge</w:t>
      </w:r>
      <w:r w:rsidRPr="00AE3E23">
        <w:rPr>
          <w:bCs/>
          <w:u w:val="none"/>
        </w:rPr>
        <w:t>, 910 So. 2d 942, 944 (Fla. 5th DCA 2005).</w:t>
      </w:r>
      <w:r>
        <w:rPr>
          <w:bCs/>
          <w:u w:val="none"/>
        </w:rPr>
        <w:t xml:space="preserve"> </w:t>
      </w:r>
      <w:r w:rsidRPr="00AE3E23">
        <w:rPr>
          <w:bCs/>
          <w:u w:val="none"/>
        </w:rPr>
        <w:t xml:space="preserve">In </w:t>
      </w:r>
      <w:r w:rsidRPr="00AE3E23">
        <w:rPr>
          <w:bCs/>
          <w:i/>
          <w:iCs/>
          <w:u w:val="none"/>
        </w:rPr>
        <w:t>Parrish &amp; Yarnell, P.A. v. Spruce River Ventures, LLC</w:t>
      </w:r>
      <w:r w:rsidRPr="00AE3E23">
        <w:rPr>
          <w:bCs/>
          <w:u w:val="none"/>
        </w:rPr>
        <w:t>, 180 So. 3d 1198, 1200 (Fla. 2d</w:t>
      </w:r>
      <w:r>
        <w:rPr>
          <w:bCs/>
          <w:u w:val="none"/>
        </w:rPr>
        <w:t xml:space="preserve"> </w:t>
      </w:r>
      <w:r w:rsidRPr="00AE3E23">
        <w:rPr>
          <w:bCs/>
          <w:u w:val="none"/>
        </w:rPr>
        <w:t>DCA 2015), the Second District Court of Appeal explained that:</w:t>
      </w:r>
      <w:r>
        <w:rPr>
          <w:bCs/>
          <w:u w:val="none"/>
        </w:rPr>
        <w:t xml:space="preserve"> </w:t>
      </w:r>
    </w:p>
    <w:p w14:paraId="598E0C55" w14:textId="77777777" w:rsidR="00AE3E23" w:rsidRDefault="00AE3E23" w:rsidP="00AE3E23">
      <w:pPr>
        <w:pStyle w:val="CenterUnderline"/>
        <w:jc w:val="both"/>
        <w:rPr>
          <w:bCs/>
          <w:u w:val="none"/>
        </w:rPr>
      </w:pPr>
    </w:p>
    <w:p w14:paraId="3C52F4FE" w14:textId="23B296A5" w:rsidR="00AE3E23" w:rsidRDefault="00AE3E23" w:rsidP="0005565A">
      <w:pPr>
        <w:pStyle w:val="CenterUnderline"/>
        <w:ind w:left="720" w:right="720"/>
        <w:jc w:val="both"/>
        <w:rPr>
          <w:bCs/>
          <w:u w:val="none"/>
        </w:rPr>
      </w:pPr>
      <w:r w:rsidRPr="00AE3E23">
        <w:rPr>
          <w:bCs/>
          <w:u w:val="none"/>
        </w:rPr>
        <w:t>[B]ecause a motion to strike only tests the legal sufficiency of a claim, it is</w:t>
      </w:r>
      <w:r w:rsidR="00252740">
        <w:rPr>
          <w:bCs/>
          <w:u w:val="none"/>
        </w:rPr>
        <w:t xml:space="preserve"> </w:t>
      </w:r>
      <w:r w:rsidRPr="00AE3E23">
        <w:rPr>
          <w:bCs/>
          <w:u w:val="none"/>
        </w:rPr>
        <w:t>reversible error for a court to grant a motion to strike where the pleading presents</w:t>
      </w:r>
      <w:r w:rsidR="00252740">
        <w:rPr>
          <w:bCs/>
          <w:u w:val="none"/>
        </w:rPr>
        <w:t xml:space="preserve"> </w:t>
      </w:r>
      <w:r w:rsidRPr="00AE3E23">
        <w:rPr>
          <w:bCs/>
          <w:u w:val="none"/>
        </w:rPr>
        <w:t>a bona fide issue of fact that may be supported by evidence. A claim should not</w:t>
      </w:r>
      <w:r w:rsidR="00252740">
        <w:rPr>
          <w:bCs/>
          <w:u w:val="none"/>
        </w:rPr>
        <w:t xml:space="preserve"> </w:t>
      </w:r>
      <w:r w:rsidRPr="00AE3E23">
        <w:rPr>
          <w:bCs/>
          <w:u w:val="none"/>
        </w:rPr>
        <w:t>be stricken simply because the judge believes that its proponent will ultimately be</w:t>
      </w:r>
      <w:r w:rsidR="00252740">
        <w:rPr>
          <w:bCs/>
          <w:u w:val="none"/>
        </w:rPr>
        <w:t xml:space="preserve"> </w:t>
      </w:r>
      <w:r w:rsidRPr="00AE3E23">
        <w:rPr>
          <w:bCs/>
          <w:u w:val="none"/>
        </w:rPr>
        <w:t>unable to produce sufficient evidence to support it. To the contrary, the trial court</w:t>
      </w:r>
      <w:r w:rsidR="00252740">
        <w:rPr>
          <w:bCs/>
          <w:u w:val="none"/>
        </w:rPr>
        <w:t xml:space="preserve"> </w:t>
      </w:r>
      <w:r w:rsidRPr="00AE3E23">
        <w:rPr>
          <w:bCs/>
          <w:u w:val="none"/>
        </w:rPr>
        <w:t>must resolve all doubts in favor of the pleading and keep in mind that striking a</w:t>
      </w:r>
      <w:r w:rsidR="00252740">
        <w:rPr>
          <w:bCs/>
          <w:u w:val="none"/>
        </w:rPr>
        <w:t xml:space="preserve"> </w:t>
      </w:r>
      <w:r w:rsidRPr="00AE3E23">
        <w:rPr>
          <w:bCs/>
          <w:u w:val="none"/>
        </w:rPr>
        <w:t>pleading is an extreme measure that is disfavored.</w:t>
      </w:r>
    </w:p>
    <w:p w14:paraId="064E437E" w14:textId="77777777" w:rsidR="00252740" w:rsidRPr="00AE3E23" w:rsidRDefault="00252740" w:rsidP="00AE3E23">
      <w:pPr>
        <w:pStyle w:val="CenterUnderline"/>
        <w:jc w:val="both"/>
        <w:rPr>
          <w:bCs/>
          <w:u w:val="none"/>
        </w:rPr>
      </w:pPr>
    </w:p>
    <w:p w14:paraId="558D7F47" w14:textId="77777777" w:rsidR="00AE3E23" w:rsidRDefault="00AE3E23" w:rsidP="00AE3E23">
      <w:pPr>
        <w:pStyle w:val="CenterUnderline"/>
        <w:jc w:val="both"/>
        <w:rPr>
          <w:bCs/>
          <w:u w:val="none"/>
        </w:rPr>
      </w:pPr>
      <w:r w:rsidRPr="00AE3E23">
        <w:rPr>
          <w:bCs/>
          <w:u w:val="none"/>
        </w:rPr>
        <w:t>(internal citations omitted).</w:t>
      </w:r>
    </w:p>
    <w:p w14:paraId="096EC32E" w14:textId="77777777" w:rsidR="00252740" w:rsidRDefault="00252740" w:rsidP="00AE3E23">
      <w:pPr>
        <w:pStyle w:val="CenterUnderline"/>
        <w:jc w:val="both"/>
        <w:rPr>
          <w:bCs/>
          <w:u w:val="none"/>
        </w:rPr>
      </w:pPr>
    </w:p>
    <w:p w14:paraId="5EC761AC" w14:textId="3336817C" w:rsidR="00F60B9B" w:rsidRDefault="00AE3E23" w:rsidP="008A0122">
      <w:pPr>
        <w:pStyle w:val="CenterUnderline"/>
        <w:ind w:firstLine="720"/>
        <w:jc w:val="both"/>
        <w:rPr>
          <w:bCs/>
          <w:u w:val="none"/>
        </w:rPr>
      </w:pPr>
      <w:r w:rsidRPr="00AE3E23">
        <w:rPr>
          <w:bCs/>
          <w:u w:val="none"/>
        </w:rPr>
        <w:t>In ruling on a party’s motion to strike, there are several important statutory requirements</w:t>
      </w:r>
      <w:r w:rsidR="00252740">
        <w:rPr>
          <w:bCs/>
          <w:u w:val="none"/>
        </w:rPr>
        <w:t xml:space="preserve"> </w:t>
      </w:r>
      <w:r w:rsidRPr="00AE3E23">
        <w:rPr>
          <w:bCs/>
          <w:u w:val="none"/>
        </w:rPr>
        <w:t>to consider</w:t>
      </w:r>
      <w:r w:rsidR="00F1518F">
        <w:rPr>
          <w:bCs/>
          <w:u w:val="none"/>
        </w:rPr>
        <w:t>, including that t</w:t>
      </w:r>
      <w:r w:rsidR="00402B55">
        <w:rPr>
          <w:bCs/>
          <w:u w:val="none"/>
        </w:rPr>
        <w:t>he Florida Evidence Code does not strictly apply to administrative proceedings in Florida.</w:t>
      </w:r>
      <w:r w:rsidR="004C67DF">
        <w:rPr>
          <w:rStyle w:val="FootnoteReference"/>
          <w:bCs/>
          <w:u w:val="none"/>
        </w:rPr>
        <w:t xml:space="preserve"> </w:t>
      </w:r>
      <w:r w:rsidR="004C67DF">
        <w:rPr>
          <w:bCs/>
          <w:i/>
          <w:iCs/>
          <w:u w:val="none"/>
        </w:rPr>
        <w:t>Florida Industrial Power Users Group v. Graham</w:t>
      </w:r>
      <w:r w:rsidR="004C67DF">
        <w:rPr>
          <w:bCs/>
          <w:u w:val="none"/>
        </w:rPr>
        <w:t>, 209 So. 3d 1142,</w:t>
      </w:r>
      <w:r w:rsidR="008A0122">
        <w:rPr>
          <w:bCs/>
          <w:u w:val="none"/>
        </w:rPr>
        <w:t xml:space="preserve"> 1145</w:t>
      </w:r>
      <w:r w:rsidR="004C67DF">
        <w:rPr>
          <w:bCs/>
          <w:u w:val="none"/>
        </w:rPr>
        <w:t xml:space="preserve"> (Fla. 2017). </w:t>
      </w:r>
      <w:r w:rsidR="00402B55">
        <w:rPr>
          <w:bCs/>
          <w:u w:val="none"/>
        </w:rPr>
        <w:t xml:space="preserve"> </w:t>
      </w:r>
      <w:r w:rsidRPr="00AE3E23">
        <w:rPr>
          <w:bCs/>
          <w:u w:val="none"/>
        </w:rPr>
        <w:t>In proceedings held under Sections 120.569 and 120.57(1), F.S., all</w:t>
      </w:r>
      <w:r w:rsidR="00252740">
        <w:rPr>
          <w:bCs/>
          <w:u w:val="none"/>
        </w:rPr>
        <w:t xml:space="preserve"> </w:t>
      </w:r>
      <w:r w:rsidRPr="00AE3E23">
        <w:rPr>
          <w:bCs/>
          <w:u w:val="none"/>
        </w:rPr>
        <w:t>parties must be given an opportunity to respond, to present evidence and argument on all issues, and to conduct cross-examination</w:t>
      </w:r>
      <w:r w:rsidR="00402B55">
        <w:rPr>
          <w:bCs/>
          <w:u w:val="none"/>
        </w:rPr>
        <w:t>,</w:t>
      </w:r>
      <w:r w:rsidRPr="00AE3E23">
        <w:rPr>
          <w:bCs/>
          <w:u w:val="none"/>
        </w:rPr>
        <w:t xml:space="preserve"> and </w:t>
      </w:r>
      <w:r w:rsidR="00402B55">
        <w:rPr>
          <w:bCs/>
          <w:u w:val="none"/>
        </w:rPr>
        <w:t xml:space="preserve">to </w:t>
      </w:r>
      <w:r w:rsidRPr="00AE3E23">
        <w:rPr>
          <w:bCs/>
          <w:u w:val="none"/>
        </w:rPr>
        <w:t>submit rebuttal evidence. Pursuant to Section</w:t>
      </w:r>
      <w:r w:rsidR="00252740">
        <w:rPr>
          <w:bCs/>
          <w:u w:val="none"/>
        </w:rPr>
        <w:t xml:space="preserve"> </w:t>
      </w:r>
      <w:r w:rsidRPr="00AE3E23">
        <w:rPr>
          <w:bCs/>
          <w:u w:val="none"/>
        </w:rPr>
        <w:t>120.569(2)(g), F.S., irrelevant, immaterial, or unduly repetitious evidence must be excluded, but</w:t>
      </w:r>
      <w:r w:rsidR="00252740">
        <w:rPr>
          <w:bCs/>
          <w:u w:val="none"/>
        </w:rPr>
        <w:t xml:space="preserve"> </w:t>
      </w:r>
      <w:r w:rsidRPr="00AE3E23">
        <w:rPr>
          <w:bCs/>
          <w:u w:val="none"/>
        </w:rPr>
        <w:t>all other evidence of a type commonly relied upon by reasonably prudent persons in the conduct</w:t>
      </w:r>
      <w:r w:rsidR="00252740">
        <w:rPr>
          <w:bCs/>
          <w:u w:val="none"/>
        </w:rPr>
        <w:t xml:space="preserve"> </w:t>
      </w:r>
      <w:r w:rsidRPr="00AE3E23">
        <w:rPr>
          <w:bCs/>
          <w:u w:val="none"/>
        </w:rPr>
        <w:t>of their affairs shall be admissible, whether or not such evidence would be admissible in a trial in</w:t>
      </w:r>
      <w:r w:rsidR="004C67DF">
        <w:rPr>
          <w:bCs/>
          <w:u w:val="none"/>
        </w:rPr>
        <w:t xml:space="preserve"> </w:t>
      </w:r>
      <w:r w:rsidRPr="00AE3E23">
        <w:rPr>
          <w:bCs/>
          <w:u w:val="none"/>
        </w:rPr>
        <w:t>Florida courts.</w:t>
      </w:r>
      <w:r w:rsidR="008A0122">
        <w:rPr>
          <w:bCs/>
          <w:u w:val="none"/>
        </w:rPr>
        <w:t xml:space="preserve"> </w:t>
      </w:r>
    </w:p>
    <w:p w14:paraId="30FDF807" w14:textId="77777777" w:rsidR="000C1C71" w:rsidRDefault="000C1C71" w:rsidP="008A0122">
      <w:pPr>
        <w:pStyle w:val="CenterUnderline"/>
        <w:ind w:firstLine="720"/>
        <w:jc w:val="both"/>
        <w:rPr>
          <w:bCs/>
          <w:u w:val="none"/>
        </w:rPr>
      </w:pPr>
    </w:p>
    <w:p w14:paraId="6EA7052D" w14:textId="09858586" w:rsidR="00712F74" w:rsidRPr="008A0122" w:rsidRDefault="008A0122" w:rsidP="004C67DF">
      <w:pPr>
        <w:pStyle w:val="CenterUnderline"/>
        <w:ind w:firstLine="720"/>
        <w:jc w:val="both"/>
        <w:rPr>
          <w:bCs/>
          <w:u w:val="none"/>
        </w:rPr>
      </w:pPr>
      <w:r>
        <w:rPr>
          <w:bCs/>
          <w:u w:val="none"/>
        </w:rPr>
        <w:t>While it appears neither party disputes</w:t>
      </w:r>
      <w:r w:rsidR="00F60B9B">
        <w:rPr>
          <w:bCs/>
          <w:u w:val="none"/>
        </w:rPr>
        <w:t xml:space="preserve"> the testimony </w:t>
      </w:r>
      <w:r>
        <w:rPr>
          <w:bCs/>
          <w:u w:val="none"/>
        </w:rPr>
        <w:t xml:space="preserve">and exhibits </w:t>
      </w:r>
      <w:r w:rsidR="00F60B9B">
        <w:rPr>
          <w:bCs/>
          <w:u w:val="none"/>
        </w:rPr>
        <w:t xml:space="preserve">do </w:t>
      </w:r>
      <w:r>
        <w:rPr>
          <w:bCs/>
          <w:u w:val="none"/>
        </w:rPr>
        <w:t>contain</w:t>
      </w:r>
      <w:r w:rsidR="00F60B9B">
        <w:rPr>
          <w:bCs/>
          <w:u w:val="none"/>
        </w:rPr>
        <w:t xml:space="preserve"> hearsay, </w:t>
      </w:r>
      <w:r w:rsidR="00402B55">
        <w:rPr>
          <w:bCs/>
          <w:u w:val="none"/>
        </w:rPr>
        <w:t>hearsay is permissible in administrative proceedings. T</w:t>
      </w:r>
      <w:r w:rsidR="00F60B9B" w:rsidRPr="00F60B9B">
        <w:rPr>
          <w:bCs/>
          <w:u w:val="none"/>
        </w:rPr>
        <w:t xml:space="preserve">he only </w:t>
      </w:r>
      <w:r w:rsidR="00402B55">
        <w:rPr>
          <w:bCs/>
          <w:u w:val="none"/>
        </w:rPr>
        <w:t>limitation</w:t>
      </w:r>
      <w:r w:rsidR="00F60B9B" w:rsidRPr="00F60B9B">
        <w:rPr>
          <w:bCs/>
          <w:u w:val="none"/>
        </w:rPr>
        <w:t xml:space="preserve"> on hearsay in administrative proceedings </w:t>
      </w:r>
      <w:r w:rsidR="00402B55">
        <w:rPr>
          <w:bCs/>
          <w:u w:val="none"/>
        </w:rPr>
        <w:t>is</w:t>
      </w:r>
      <w:r w:rsidR="00F60B9B" w:rsidRPr="00F60B9B">
        <w:rPr>
          <w:bCs/>
          <w:u w:val="none"/>
        </w:rPr>
        <w:t xml:space="preserve"> that </w:t>
      </w:r>
      <w:r w:rsidR="00402B55">
        <w:rPr>
          <w:bCs/>
          <w:u w:val="none"/>
        </w:rPr>
        <w:t>an</w:t>
      </w:r>
      <w:r w:rsidR="00F60B9B" w:rsidRPr="00F60B9B">
        <w:rPr>
          <w:bCs/>
          <w:u w:val="none"/>
        </w:rPr>
        <w:t xml:space="preserve"> agency </w:t>
      </w:r>
      <w:r w:rsidR="00F60B9B" w:rsidRPr="00402B55">
        <w:rPr>
          <w:bCs/>
          <w:u w:val="none"/>
        </w:rPr>
        <w:t>may use it to supplement or explain other competent, substantial evidence, and may not</w:t>
      </w:r>
      <w:r w:rsidR="00F60B9B" w:rsidRPr="00F60B9B">
        <w:rPr>
          <w:bCs/>
          <w:i/>
          <w:iCs/>
          <w:u w:val="none"/>
        </w:rPr>
        <w:t xml:space="preserve"> </w:t>
      </w:r>
      <w:r w:rsidR="00F60B9B" w:rsidRPr="00F60B9B">
        <w:rPr>
          <w:bCs/>
          <w:u w:val="none"/>
        </w:rPr>
        <w:t>use hearsay alone to support a finding</w:t>
      </w:r>
      <w:r w:rsidR="00402B55">
        <w:rPr>
          <w:bCs/>
          <w:u w:val="none"/>
        </w:rPr>
        <w:t xml:space="preserve"> of fact</w:t>
      </w:r>
      <w:r w:rsidR="00E66FB1">
        <w:rPr>
          <w:bCs/>
          <w:u w:val="none"/>
        </w:rPr>
        <w:t xml:space="preserve"> unless it would be admissible over objection in civil actions</w:t>
      </w:r>
      <w:r w:rsidR="00F60B9B" w:rsidRPr="00F60B9B">
        <w:rPr>
          <w:bCs/>
          <w:u w:val="none"/>
        </w:rPr>
        <w:t>. Section 120.57(1)(c), F.S.</w:t>
      </w:r>
      <w:r w:rsidR="00E66FB1">
        <w:rPr>
          <w:bCs/>
          <w:u w:val="none"/>
        </w:rPr>
        <w:t xml:space="preserve"> Rule 28-</w:t>
      </w:r>
      <w:r w:rsidR="00E66FB1">
        <w:rPr>
          <w:bCs/>
          <w:u w:val="none"/>
        </w:rPr>
        <w:lastRenderedPageBreak/>
        <w:t>106.213(3) further specifies that hearsay shall not be sufficient to support a finding unless the evidence falls within an exception as found in Sections 90.801-805, F.S. Rule 28-106.213(3), F.A.C.</w:t>
      </w:r>
      <w:r w:rsidR="00402B55" w:rsidRPr="001B0099">
        <w:rPr>
          <w:bCs/>
          <w:u w:val="none"/>
        </w:rPr>
        <w:t xml:space="preserve"> </w:t>
      </w:r>
      <w:r w:rsidR="00F60B9B" w:rsidRPr="001B0099">
        <w:rPr>
          <w:bCs/>
          <w:u w:val="none"/>
        </w:rPr>
        <w:t xml:space="preserve">Whether </w:t>
      </w:r>
      <w:r w:rsidR="00F60B9B" w:rsidRPr="00F60B9B">
        <w:rPr>
          <w:bCs/>
          <w:u w:val="none"/>
        </w:rPr>
        <w:t>circumstances exist which would allow the use of hearsay is a</w:t>
      </w:r>
      <w:r w:rsidR="00402B55">
        <w:rPr>
          <w:bCs/>
          <w:u w:val="none"/>
        </w:rPr>
        <w:t xml:space="preserve"> </w:t>
      </w:r>
      <w:r w:rsidR="00F60B9B" w:rsidRPr="00F60B9B">
        <w:rPr>
          <w:bCs/>
          <w:u w:val="none"/>
        </w:rPr>
        <w:t xml:space="preserve">determination that occurs by the agency after all the evidence has been received. </w:t>
      </w:r>
      <w:r w:rsidR="00F60B9B" w:rsidRPr="00F60B9B">
        <w:rPr>
          <w:bCs/>
          <w:i/>
          <w:iCs/>
          <w:u w:val="none"/>
        </w:rPr>
        <w:t>Miller v. State</w:t>
      </w:r>
      <w:r w:rsidR="00F60B9B" w:rsidRPr="00F60B9B">
        <w:rPr>
          <w:bCs/>
          <w:u w:val="none"/>
        </w:rPr>
        <w:t>,</w:t>
      </w:r>
      <w:r w:rsidR="001B0099" w:rsidRPr="001B0099">
        <w:rPr>
          <w:bCs/>
          <w:u w:val="none"/>
        </w:rPr>
        <w:t xml:space="preserve"> </w:t>
      </w:r>
      <w:r w:rsidR="00F60B9B" w:rsidRPr="00F60B9B">
        <w:rPr>
          <w:bCs/>
          <w:u w:val="none"/>
        </w:rPr>
        <w:t>96 So. 2d 644, 646 (Fla 1st DCA 2001). Thus, to exclude the hearsay at this point in time is</w:t>
      </w:r>
      <w:r w:rsidR="001B0099" w:rsidRPr="001B0099">
        <w:rPr>
          <w:bCs/>
          <w:u w:val="none"/>
        </w:rPr>
        <w:t xml:space="preserve"> </w:t>
      </w:r>
      <w:r w:rsidR="00F60B9B" w:rsidRPr="00F60B9B">
        <w:rPr>
          <w:bCs/>
          <w:u w:val="none"/>
        </w:rPr>
        <w:t>premature.</w:t>
      </w:r>
      <w:r w:rsidR="00DA6E7D">
        <w:rPr>
          <w:bCs/>
          <w:u w:val="none"/>
        </w:rPr>
        <w:t xml:space="preserve"> </w:t>
      </w:r>
      <w:r>
        <w:rPr>
          <w:bCs/>
          <w:u w:val="none"/>
        </w:rPr>
        <w:t xml:space="preserve">CSWR reaffirmed Witness Cox is being offered as a fact witness and not in the role of expert engineer or appraiser, so to the extent OPC has challenged his status as an expert </w:t>
      </w:r>
      <w:r>
        <w:rPr>
          <w:bCs/>
          <w:i/>
          <w:iCs/>
          <w:u w:val="none"/>
        </w:rPr>
        <w:t>arguendo</w:t>
      </w:r>
      <w:r>
        <w:rPr>
          <w:bCs/>
          <w:u w:val="none"/>
        </w:rPr>
        <w:t xml:space="preserve">, that </w:t>
      </w:r>
      <w:r w:rsidR="00E043F0">
        <w:rPr>
          <w:bCs/>
          <w:u w:val="none"/>
        </w:rPr>
        <w:t>challenge</w:t>
      </w:r>
      <w:r>
        <w:rPr>
          <w:bCs/>
          <w:u w:val="none"/>
        </w:rPr>
        <w:t xml:space="preserve"> is likewise premature. </w:t>
      </w:r>
      <w:r w:rsidR="004C67DF">
        <w:rPr>
          <w:bCs/>
          <w:u w:val="none"/>
        </w:rPr>
        <w:t xml:space="preserve">Furthermore, </w:t>
      </w:r>
      <w:r w:rsidR="00DA6E7D">
        <w:rPr>
          <w:bCs/>
          <w:u w:val="none"/>
        </w:rPr>
        <w:t>OPC’s concerns about what information is presented to a jury are unfounded in the current proceeding.</w:t>
      </w:r>
      <w:r w:rsidR="00F60B9B" w:rsidRPr="00F60B9B">
        <w:rPr>
          <w:bCs/>
          <w:u w:val="none"/>
        </w:rPr>
        <w:t xml:space="preserve"> The Commission will give any testimony or evidence</w:t>
      </w:r>
      <w:r w:rsidR="001B0099" w:rsidRPr="001B0099">
        <w:rPr>
          <w:bCs/>
          <w:u w:val="none"/>
        </w:rPr>
        <w:t xml:space="preserve"> </w:t>
      </w:r>
      <w:r w:rsidR="00F60B9B" w:rsidRPr="001B0099">
        <w:rPr>
          <w:bCs/>
          <w:u w:val="none"/>
        </w:rPr>
        <w:t>admitted at hearing the weight it is due, including no weight at all if appropriate.</w:t>
      </w:r>
      <w:r w:rsidR="004C67DF">
        <w:rPr>
          <w:bCs/>
          <w:u w:val="none"/>
        </w:rPr>
        <w:t xml:space="preserve"> </w:t>
      </w:r>
      <w:r>
        <w:rPr>
          <w:bCs/>
          <w:u w:val="none"/>
        </w:rPr>
        <w:t>Accordingly, OPC’s Motion to Strike is hereby denied, and that the prefiled testimony and exhibits should be considered by the full Commission which can give it the proper weight that it is due, if any.</w:t>
      </w:r>
    </w:p>
    <w:p w14:paraId="0F1333D7" w14:textId="77777777" w:rsidR="009F77B9" w:rsidRDefault="009F77B9" w:rsidP="009F77B9">
      <w:pPr>
        <w:pStyle w:val="CenterUnderline"/>
        <w:jc w:val="both"/>
        <w:rPr>
          <w:bCs/>
          <w:u w:val="none"/>
        </w:rPr>
      </w:pPr>
    </w:p>
    <w:p w14:paraId="339660E7" w14:textId="730F45FF" w:rsidR="006D7992" w:rsidRPr="00817318" w:rsidRDefault="006D7992" w:rsidP="009F77B9">
      <w:pPr>
        <w:pStyle w:val="ListParagraph"/>
        <w:ind w:left="0" w:firstLine="720"/>
        <w:jc w:val="both"/>
        <w:rPr>
          <w:rFonts w:ascii="Times New Roman" w:hAnsi="Times New Roman"/>
          <w:iCs/>
          <w:color w:val="212121"/>
        </w:rPr>
      </w:pPr>
      <w:r w:rsidRPr="00817318">
        <w:rPr>
          <w:rFonts w:ascii="Times New Roman" w:hAnsi="Times New Roman"/>
          <w:iCs/>
          <w:color w:val="212121"/>
        </w:rPr>
        <w:t>Therefore, it is</w:t>
      </w:r>
    </w:p>
    <w:p w14:paraId="2B105510" w14:textId="77777777" w:rsidR="006D7992" w:rsidRPr="00817318" w:rsidRDefault="006D7992" w:rsidP="006D7992">
      <w:pPr>
        <w:pStyle w:val="ListParagraph"/>
        <w:ind w:left="0"/>
        <w:jc w:val="both"/>
        <w:rPr>
          <w:rFonts w:ascii="Times New Roman" w:hAnsi="Times New Roman"/>
          <w:iCs/>
          <w:color w:val="212121"/>
        </w:rPr>
      </w:pPr>
    </w:p>
    <w:p w14:paraId="2C9C03CE" w14:textId="10BEBC66" w:rsidR="006D7992" w:rsidRDefault="006D7992" w:rsidP="006D7992">
      <w:pPr>
        <w:pStyle w:val="ListParagraph"/>
        <w:ind w:left="0"/>
        <w:jc w:val="both"/>
        <w:rPr>
          <w:rFonts w:ascii="Times New Roman" w:hAnsi="Times New Roman"/>
          <w:iCs/>
          <w:color w:val="212121"/>
        </w:rPr>
      </w:pPr>
      <w:r w:rsidRPr="00817318">
        <w:rPr>
          <w:rFonts w:ascii="Times New Roman" w:hAnsi="Times New Roman"/>
          <w:iCs/>
          <w:color w:val="212121"/>
        </w:rPr>
        <w:tab/>
      </w:r>
      <w:r w:rsidR="002E5246" w:rsidRPr="006064B3">
        <w:rPr>
          <w:rFonts w:ascii="Times New Roman" w:hAnsi="Times New Roman"/>
          <w:iCs/>
          <w:color w:val="212121"/>
        </w:rPr>
        <w:t xml:space="preserve">ORDERED by Commissioner Michael La Rosa, as Prehearing Officer, that the Office of Public Counsel’s </w:t>
      </w:r>
      <w:r w:rsidR="002E5246" w:rsidRPr="006064B3">
        <w:rPr>
          <w:rFonts w:ascii="Times New Roman" w:hAnsi="Times New Roman"/>
          <w:bCs/>
        </w:rPr>
        <w:t>Expedited Motion for Modification of the Order Establishing Procedure is hereby denied</w:t>
      </w:r>
      <w:r w:rsidR="002E5246" w:rsidRPr="006064B3">
        <w:rPr>
          <w:rFonts w:ascii="Times New Roman" w:hAnsi="Times New Roman"/>
          <w:iCs/>
          <w:color w:val="212121"/>
        </w:rPr>
        <w:t>.   It is further,</w:t>
      </w:r>
    </w:p>
    <w:p w14:paraId="5D19B4D2" w14:textId="77777777" w:rsidR="002E5246" w:rsidRDefault="002E5246" w:rsidP="006D7992">
      <w:pPr>
        <w:pStyle w:val="ListParagraph"/>
        <w:ind w:left="0"/>
        <w:jc w:val="both"/>
        <w:rPr>
          <w:rFonts w:ascii="Times New Roman" w:hAnsi="Times New Roman"/>
          <w:iCs/>
          <w:color w:val="212121"/>
        </w:rPr>
      </w:pPr>
    </w:p>
    <w:p w14:paraId="715DB422" w14:textId="33C97D0E" w:rsidR="002E5246" w:rsidRPr="00817318" w:rsidRDefault="002E5246" w:rsidP="002E5246">
      <w:pPr>
        <w:pStyle w:val="ListParagraph"/>
        <w:ind w:left="0" w:firstLine="720"/>
        <w:jc w:val="both"/>
        <w:rPr>
          <w:rFonts w:ascii="Times New Roman" w:hAnsi="Times New Roman"/>
          <w:iCs/>
          <w:color w:val="212121"/>
        </w:rPr>
      </w:pPr>
      <w:r w:rsidRPr="006064B3">
        <w:rPr>
          <w:rFonts w:ascii="Times New Roman" w:hAnsi="Times New Roman"/>
          <w:iCs/>
          <w:color w:val="212121"/>
        </w:rPr>
        <w:t>ORDERED by Commissioner Michael La Rosa, as Prehearing Officer, that the Office of Public Counse</w:t>
      </w:r>
      <w:r w:rsidRPr="004C67DF">
        <w:rPr>
          <w:rFonts w:ascii="Times New Roman" w:hAnsi="Times New Roman"/>
          <w:iCs/>
          <w:color w:val="212121"/>
        </w:rPr>
        <w:t xml:space="preserve">l’s </w:t>
      </w:r>
      <w:r w:rsidR="004C67DF" w:rsidRPr="004C67DF">
        <w:rPr>
          <w:rFonts w:ascii="Times New Roman" w:hAnsi="Times New Roman"/>
        </w:rPr>
        <w:t>Motion To Strike Portions Of Josiah Cox’s Direct Testimony, Rebuttal Testimony, And Exhibits And Daubert Challenge</w:t>
      </w:r>
      <w:r w:rsidRPr="006064B3">
        <w:rPr>
          <w:rFonts w:ascii="Times New Roman" w:hAnsi="Times New Roman"/>
          <w:bCs/>
        </w:rPr>
        <w:t xml:space="preserve"> is hereby denied</w:t>
      </w:r>
      <w:r w:rsidRPr="006064B3">
        <w:rPr>
          <w:rFonts w:ascii="Times New Roman" w:hAnsi="Times New Roman"/>
          <w:iCs/>
          <w:color w:val="212121"/>
        </w:rPr>
        <w:t>.   It is further,</w:t>
      </w:r>
    </w:p>
    <w:p w14:paraId="784ACA21" w14:textId="77777777" w:rsidR="006D7992" w:rsidRDefault="006D7992" w:rsidP="006D7992">
      <w:pPr>
        <w:pStyle w:val="ListParagraph"/>
        <w:ind w:left="0"/>
        <w:jc w:val="both"/>
        <w:rPr>
          <w:rFonts w:ascii="Times New Roman" w:hAnsi="Times New Roman"/>
          <w:iCs/>
          <w:color w:val="212121"/>
        </w:rPr>
      </w:pPr>
    </w:p>
    <w:p w14:paraId="68393B16" w14:textId="77777777" w:rsidR="006D7992" w:rsidRDefault="006D7992" w:rsidP="006D7992">
      <w:pPr>
        <w:pStyle w:val="ListParagraph"/>
        <w:ind w:left="0"/>
        <w:jc w:val="both"/>
        <w:rPr>
          <w:rFonts w:ascii="Times New Roman" w:hAnsi="Times New Roman"/>
          <w:iCs/>
          <w:color w:val="FF0000"/>
        </w:rPr>
      </w:pPr>
    </w:p>
    <w:p w14:paraId="14B53E71" w14:textId="0888F29F" w:rsidR="00DF1AA6" w:rsidRDefault="00DF1AA6" w:rsidP="00DF1AA6">
      <w:pPr>
        <w:pStyle w:val="OrderBody"/>
        <w:keepNext/>
        <w:keepLines/>
      </w:pPr>
      <w:r>
        <w:lastRenderedPageBreak/>
        <w:tab/>
        <w:t xml:space="preserve">By ORDER of Commissioner Mike La Rosa, as Prehearing Officer, this </w:t>
      </w:r>
      <w:bookmarkStart w:id="6" w:name="replaceDate"/>
      <w:bookmarkEnd w:id="6"/>
      <w:r w:rsidR="00EA77C8">
        <w:rPr>
          <w:u w:val="single"/>
        </w:rPr>
        <w:t>14th</w:t>
      </w:r>
      <w:r w:rsidR="00EA77C8">
        <w:t xml:space="preserve"> day of </w:t>
      </w:r>
      <w:r w:rsidR="00EA77C8">
        <w:rPr>
          <w:u w:val="single"/>
        </w:rPr>
        <w:t>October</w:t>
      </w:r>
      <w:r w:rsidR="00EA77C8">
        <w:t xml:space="preserve">, </w:t>
      </w:r>
      <w:r w:rsidR="00EA77C8">
        <w:rPr>
          <w:u w:val="single"/>
        </w:rPr>
        <w:t>2026</w:t>
      </w:r>
      <w:r w:rsidR="00EA77C8">
        <w:t>.</w:t>
      </w:r>
    </w:p>
    <w:p w14:paraId="3FCBA060" w14:textId="77777777" w:rsidR="00EA77C8" w:rsidRPr="00EA77C8" w:rsidRDefault="00EA77C8" w:rsidP="00DF1AA6">
      <w:pPr>
        <w:pStyle w:val="OrderBody"/>
        <w:keepNext/>
        <w:keepLines/>
      </w:pPr>
    </w:p>
    <w:p w14:paraId="3063196E" w14:textId="77777777" w:rsidR="00DF1AA6" w:rsidRDefault="00DF1AA6" w:rsidP="00DF1AA6">
      <w:pPr>
        <w:pStyle w:val="OrderBody"/>
        <w:keepNext/>
        <w:keepLines/>
      </w:pPr>
    </w:p>
    <w:p w14:paraId="19CF9906" w14:textId="77777777" w:rsidR="00DF1AA6" w:rsidRDefault="00DF1AA6" w:rsidP="00DF1AA6">
      <w:pPr>
        <w:pStyle w:val="OrderBody"/>
        <w:keepNext/>
        <w:keepLines/>
      </w:pPr>
    </w:p>
    <w:p w14:paraId="2444C33F" w14:textId="77777777" w:rsidR="00DF1AA6" w:rsidRDefault="00DF1AA6" w:rsidP="00DF1AA6">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DF1AA6" w14:paraId="15C0B545" w14:textId="77777777" w:rsidTr="00DF1AA6">
        <w:tc>
          <w:tcPr>
            <w:tcW w:w="720" w:type="dxa"/>
            <w:shd w:val="clear" w:color="auto" w:fill="auto"/>
          </w:tcPr>
          <w:p w14:paraId="4E9F90BE" w14:textId="77777777" w:rsidR="00DF1AA6" w:rsidRDefault="00DF1AA6" w:rsidP="00DF1AA6">
            <w:pPr>
              <w:pStyle w:val="OrderBody"/>
              <w:keepNext/>
              <w:keepLines/>
            </w:pPr>
            <w:bookmarkStart w:id="7" w:name="bkmrkSignature" w:colFirst="0" w:colLast="0"/>
          </w:p>
        </w:tc>
        <w:tc>
          <w:tcPr>
            <w:tcW w:w="4320" w:type="dxa"/>
            <w:tcBorders>
              <w:bottom w:val="single" w:sz="4" w:space="0" w:color="auto"/>
            </w:tcBorders>
            <w:shd w:val="clear" w:color="auto" w:fill="auto"/>
          </w:tcPr>
          <w:p w14:paraId="5A80AEDA" w14:textId="7515C3C4" w:rsidR="00DF1AA6" w:rsidRDefault="004A08D0" w:rsidP="00DF1AA6">
            <w:pPr>
              <w:pStyle w:val="OrderBody"/>
              <w:keepNext/>
              <w:keepLines/>
            </w:pPr>
            <w:r>
              <w:t>/s/ Mike La Rosa</w:t>
            </w:r>
          </w:p>
        </w:tc>
      </w:tr>
      <w:bookmarkEnd w:id="7"/>
      <w:tr w:rsidR="00DF1AA6" w14:paraId="6B86CB29" w14:textId="77777777" w:rsidTr="00DF1AA6">
        <w:tc>
          <w:tcPr>
            <w:tcW w:w="720" w:type="dxa"/>
            <w:shd w:val="clear" w:color="auto" w:fill="auto"/>
          </w:tcPr>
          <w:p w14:paraId="1CF6C3E7" w14:textId="77777777" w:rsidR="00DF1AA6" w:rsidRDefault="00DF1AA6" w:rsidP="00DF1AA6">
            <w:pPr>
              <w:pStyle w:val="OrderBody"/>
              <w:keepNext/>
              <w:keepLines/>
            </w:pPr>
          </w:p>
        </w:tc>
        <w:tc>
          <w:tcPr>
            <w:tcW w:w="4320" w:type="dxa"/>
            <w:tcBorders>
              <w:top w:val="single" w:sz="4" w:space="0" w:color="auto"/>
            </w:tcBorders>
            <w:shd w:val="clear" w:color="auto" w:fill="auto"/>
          </w:tcPr>
          <w:p w14:paraId="2C7F98B1" w14:textId="77777777" w:rsidR="00DF1AA6" w:rsidRDefault="00DF1AA6" w:rsidP="00DF1AA6">
            <w:pPr>
              <w:pStyle w:val="OrderBody"/>
              <w:keepNext/>
              <w:keepLines/>
            </w:pPr>
            <w:r>
              <w:t>MIKE LA ROSA</w:t>
            </w:r>
          </w:p>
          <w:p w14:paraId="41C6325C" w14:textId="36118FF9" w:rsidR="00DF1AA6" w:rsidRDefault="00DF1AA6" w:rsidP="00DF1AA6">
            <w:pPr>
              <w:pStyle w:val="OrderBody"/>
              <w:keepNext/>
              <w:keepLines/>
            </w:pPr>
            <w:r>
              <w:t>Commissioner and Prehearing Officer</w:t>
            </w:r>
          </w:p>
        </w:tc>
      </w:tr>
    </w:tbl>
    <w:p w14:paraId="3D07A5AE" w14:textId="77777777" w:rsidR="00DF1AA6" w:rsidRDefault="00DF1AA6" w:rsidP="00DF1AA6">
      <w:pPr>
        <w:pStyle w:val="OrderSigInfo"/>
        <w:keepNext/>
        <w:keepLines/>
      </w:pPr>
      <w:r>
        <w:t>Florida Public Service Commission</w:t>
      </w:r>
    </w:p>
    <w:p w14:paraId="69F04D5E" w14:textId="77777777" w:rsidR="00DF1AA6" w:rsidRDefault="00DF1AA6" w:rsidP="00DF1AA6">
      <w:pPr>
        <w:pStyle w:val="OrderSigInfo"/>
        <w:keepNext/>
        <w:keepLines/>
      </w:pPr>
      <w:r>
        <w:t>2540 Shumard Oak Boulevard</w:t>
      </w:r>
    </w:p>
    <w:p w14:paraId="7F9E8530" w14:textId="77777777" w:rsidR="00DF1AA6" w:rsidRDefault="00DF1AA6" w:rsidP="00DF1AA6">
      <w:pPr>
        <w:pStyle w:val="OrderSigInfo"/>
        <w:keepNext/>
        <w:keepLines/>
      </w:pPr>
      <w:r>
        <w:t>Tallahassee, Florida 32399</w:t>
      </w:r>
    </w:p>
    <w:p w14:paraId="65F01031" w14:textId="77777777" w:rsidR="00DF1AA6" w:rsidRDefault="00DF1AA6" w:rsidP="00DF1AA6">
      <w:pPr>
        <w:pStyle w:val="OrderSigInfo"/>
        <w:keepNext/>
        <w:keepLines/>
      </w:pPr>
      <w:r>
        <w:t>(850) 413</w:t>
      </w:r>
      <w:r>
        <w:noBreakHyphen/>
        <w:t>6770</w:t>
      </w:r>
    </w:p>
    <w:p w14:paraId="2669BE1D" w14:textId="77777777" w:rsidR="00DF1AA6" w:rsidRDefault="00DF1AA6" w:rsidP="00DF1AA6">
      <w:pPr>
        <w:pStyle w:val="OrderSigInfo"/>
        <w:keepNext/>
        <w:keepLines/>
      </w:pPr>
      <w:r>
        <w:t>www.floridapsc.com</w:t>
      </w:r>
    </w:p>
    <w:p w14:paraId="777D6A4A" w14:textId="77777777" w:rsidR="00DF1AA6" w:rsidRDefault="00DF1AA6" w:rsidP="00DF1AA6">
      <w:pPr>
        <w:pStyle w:val="OrderSigInfo"/>
        <w:keepNext/>
        <w:keepLines/>
      </w:pPr>
    </w:p>
    <w:p w14:paraId="07915614" w14:textId="77777777" w:rsidR="00DF1AA6" w:rsidRDefault="00DF1AA6" w:rsidP="00DF1AA6">
      <w:pPr>
        <w:pStyle w:val="OrderSigInfo"/>
        <w:keepNext/>
        <w:keepLines/>
      </w:pPr>
      <w:r>
        <w:t>Copies furnished:  A copy of this document is provided to the parties of record at the time of issuance and, if applicable, interested persons.</w:t>
      </w:r>
    </w:p>
    <w:p w14:paraId="09D87F10" w14:textId="033446EB" w:rsidR="00DF1AA6" w:rsidRDefault="006D7992" w:rsidP="00DF1AA6">
      <w:pPr>
        <w:pStyle w:val="OrderBody"/>
        <w:keepNext/>
        <w:keepLines/>
      </w:pPr>
      <w:r>
        <w:tab/>
      </w:r>
    </w:p>
    <w:p w14:paraId="7CEC4CDD" w14:textId="77777777" w:rsidR="00DF1AA6" w:rsidRDefault="00DF1AA6" w:rsidP="00DF1AA6">
      <w:pPr>
        <w:pStyle w:val="OrderBody"/>
        <w:keepNext/>
        <w:keepLines/>
      </w:pPr>
    </w:p>
    <w:p w14:paraId="12065301" w14:textId="63C80152" w:rsidR="00DF1AA6" w:rsidRDefault="00DF1AA6" w:rsidP="00DF1AA6">
      <w:pPr>
        <w:pStyle w:val="OrderBody"/>
        <w:keepNext/>
        <w:keepLines/>
      </w:pPr>
      <w:r>
        <w:t>TPS</w:t>
      </w:r>
    </w:p>
    <w:p w14:paraId="16B664FF" w14:textId="77777777" w:rsidR="00DF1AA6" w:rsidRDefault="00DF1AA6" w:rsidP="00DF1AA6">
      <w:pPr>
        <w:pStyle w:val="OrderBody"/>
        <w:keepNext/>
        <w:keepLines/>
      </w:pPr>
    </w:p>
    <w:p w14:paraId="2468CF4E" w14:textId="77777777" w:rsidR="00DF1AA6" w:rsidRDefault="00DF1AA6" w:rsidP="00DF1AA6">
      <w:pPr>
        <w:pStyle w:val="OrderBody"/>
        <w:keepNext/>
        <w:keepLines/>
      </w:pPr>
    </w:p>
    <w:p w14:paraId="6C3036F0" w14:textId="39D0728C" w:rsidR="00DF1AA6" w:rsidRDefault="00DF1AA6"/>
    <w:p w14:paraId="16C6E813" w14:textId="77777777" w:rsidR="00DF1AA6" w:rsidRDefault="00DF1AA6" w:rsidP="00DF1AA6">
      <w:pPr>
        <w:pStyle w:val="CenterUnderline"/>
      </w:pPr>
      <w:r>
        <w:t>NOTICE OF FURTHER PROCEEDINGS OR JUDICIAL REVIEW</w:t>
      </w:r>
    </w:p>
    <w:p w14:paraId="7015DCF3" w14:textId="11CA3E5B" w:rsidR="00CB5276" w:rsidRDefault="00CB5276" w:rsidP="00DF1AA6">
      <w:pPr>
        <w:pStyle w:val="CenterUnderline"/>
      </w:pPr>
    </w:p>
    <w:p w14:paraId="390CFB6E" w14:textId="77777777" w:rsidR="00DF1AA6" w:rsidRDefault="00DF1AA6" w:rsidP="00DF1AA6">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733C91CD" w14:textId="77777777" w:rsidR="00DF1AA6" w:rsidRDefault="00DF1AA6" w:rsidP="00DF1AA6">
      <w:pPr>
        <w:pStyle w:val="OrderBody"/>
      </w:pPr>
    </w:p>
    <w:p w14:paraId="54055CDC" w14:textId="77777777" w:rsidR="00DF1AA6" w:rsidRDefault="00DF1AA6" w:rsidP="00DF1AA6">
      <w:pPr>
        <w:pStyle w:val="OrderBody"/>
      </w:pPr>
      <w:r>
        <w:tab/>
        <w:t>Mediation may be available on a case-by-case basis.  If mediation is conducted, it does not affect a substantially interested person's right to a hearing.</w:t>
      </w:r>
    </w:p>
    <w:p w14:paraId="57A302C5" w14:textId="77777777" w:rsidR="00DF1AA6" w:rsidRDefault="00DF1AA6" w:rsidP="00DF1AA6">
      <w:pPr>
        <w:pStyle w:val="OrderBody"/>
      </w:pPr>
    </w:p>
    <w:p w14:paraId="10B880CA" w14:textId="4C098D14" w:rsidR="00513EC1" w:rsidRDefault="00DF1AA6">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sectPr w:rsidR="00513EC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F897" w14:textId="77777777" w:rsidR="004A4310" w:rsidRDefault="004A4310">
      <w:r>
        <w:separator/>
      </w:r>
    </w:p>
  </w:endnote>
  <w:endnote w:type="continuationSeparator" w:id="0">
    <w:p w14:paraId="473F1748" w14:textId="77777777" w:rsidR="004A4310" w:rsidRDefault="004A4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50D33" w14:textId="77777777" w:rsidR="00FA6EFD" w:rsidRDefault="00FA6EFD">
    <w:pPr>
      <w:pStyle w:val="Footer"/>
    </w:pPr>
  </w:p>
  <w:p w14:paraId="095809F7"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8816B" w14:textId="77777777" w:rsidR="004A4310" w:rsidRDefault="004A4310">
      <w:r>
        <w:separator/>
      </w:r>
    </w:p>
  </w:footnote>
  <w:footnote w:type="continuationSeparator" w:id="0">
    <w:p w14:paraId="437FAD6E" w14:textId="77777777" w:rsidR="004A4310" w:rsidRDefault="004A4310">
      <w:r>
        <w:continuationSeparator/>
      </w:r>
    </w:p>
  </w:footnote>
  <w:footnote w:id="1">
    <w:p w14:paraId="6341C069" w14:textId="0FDC9A06" w:rsidR="00A86EB1" w:rsidRPr="00BF5E50" w:rsidRDefault="00A8746F" w:rsidP="00A86EB1">
      <w:pPr>
        <w:pStyle w:val="FootnoteText"/>
        <w:rPr>
          <w:i/>
          <w:iCs/>
        </w:rPr>
      </w:pPr>
      <w:r>
        <w:rPr>
          <w:rStyle w:val="FootnoteReference"/>
        </w:rPr>
        <w:footnoteRef/>
      </w:r>
      <w:r w:rsidR="00A86EB1">
        <w:rPr>
          <w:i/>
          <w:iCs/>
        </w:rPr>
        <w:t xml:space="preserve"> </w:t>
      </w:r>
      <w:r w:rsidR="00A86EB1" w:rsidRPr="00BF5E50">
        <w:rPr>
          <w:i/>
          <w:iCs/>
        </w:rPr>
        <w:t>Daubert v. Merrell Dow Pharms., Inc.,</w:t>
      </w:r>
      <w:r w:rsidR="00A86EB1" w:rsidRPr="00A86EB1">
        <w:t xml:space="preserve"> 509 U.S. 579, 113 S. Ct. 2786 (1993)</w:t>
      </w:r>
      <w:r w:rsidR="00A86EB1">
        <w:t>.</w:t>
      </w:r>
    </w:p>
    <w:p w14:paraId="6D6BCD69" w14:textId="6C7F5741" w:rsidR="00A8746F" w:rsidRPr="00BF5E50" w:rsidRDefault="00A8746F">
      <w:pPr>
        <w:pStyle w:val="FootnoteText"/>
        <w:rPr>
          <w:i/>
          <w:i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DE02B" w14:textId="3D774489" w:rsidR="00FA6EFD" w:rsidRDefault="00FA6EFD">
    <w:pPr>
      <w:pStyle w:val="OrderHeader"/>
    </w:pPr>
    <w:r>
      <w:t xml:space="preserve">ORDER NO. </w:t>
    </w:r>
    <w:r w:rsidR="00EA77C8">
      <w:fldChar w:fldCharType="begin"/>
    </w:r>
    <w:r w:rsidR="00EA77C8">
      <w:instrText xml:space="preserve"> REF OrderNo0357 </w:instrText>
    </w:r>
    <w:r w:rsidR="00EA77C8">
      <w:fldChar w:fldCharType="separate"/>
    </w:r>
    <w:r w:rsidR="004A08D0">
      <w:t>PSC-2026-0357-PCO-SU</w:t>
    </w:r>
    <w:r w:rsidR="00EA77C8">
      <w:fldChar w:fldCharType="end"/>
    </w:r>
  </w:p>
  <w:p w14:paraId="096D7C8F" w14:textId="4D20EB50" w:rsidR="00FA6EFD" w:rsidRDefault="006D7992">
    <w:pPr>
      <w:pStyle w:val="OrderHeader"/>
    </w:pPr>
    <w:bookmarkStart w:id="8" w:name="HeaderDocketNo"/>
    <w:bookmarkEnd w:id="8"/>
    <w:r>
      <w:t>DOCKET NO. 20260083-SU</w:t>
    </w:r>
  </w:p>
  <w:p w14:paraId="4850307F"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47616678"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3-SU"/>
  </w:docVars>
  <w:rsids>
    <w:rsidRoot w:val="006D7992"/>
    <w:rsid w:val="000003EA"/>
    <w:rsid w:val="000022B8"/>
    <w:rsid w:val="00003883"/>
    <w:rsid w:val="000048E2"/>
    <w:rsid w:val="00011251"/>
    <w:rsid w:val="00012B32"/>
    <w:rsid w:val="00025C2A"/>
    <w:rsid w:val="00025C9D"/>
    <w:rsid w:val="00031CFF"/>
    <w:rsid w:val="0003433F"/>
    <w:rsid w:val="00035A8C"/>
    <w:rsid w:val="00036BDD"/>
    <w:rsid w:val="000372A2"/>
    <w:rsid w:val="0004190B"/>
    <w:rsid w:val="00041FFD"/>
    <w:rsid w:val="00042C99"/>
    <w:rsid w:val="00053AB9"/>
    <w:rsid w:val="0005565A"/>
    <w:rsid w:val="00056229"/>
    <w:rsid w:val="00057AF1"/>
    <w:rsid w:val="00065FC2"/>
    <w:rsid w:val="00066009"/>
    <w:rsid w:val="00067685"/>
    <w:rsid w:val="00067B07"/>
    <w:rsid w:val="000730D7"/>
    <w:rsid w:val="000736B1"/>
    <w:rsid w:val="00076715"/>
    <w:rsid w:val="00076E6B"/>
    <w:rsid w:val="00081AE4"/>
    <w:rsid w:val="0008247D"/>
    <w:rsid w:val="00090AFC"/>
    <w:rsid w:val="00092AF3"/>
    <w:rsid w:val="00096025"/>
    <w:rsid w:val="00096507"/>
    <w:rsid w:val="00097328"/>
    <w:rsid w:val="000A774F"/>
    <w:rsid w:val="000B12BB"/>
    <w:rsid w:val="000B1603"/>
    <w:rsid w:val="000B783E"/>
    <w:rsid w:val="000B7AD2"/>
    <w:rsid w:val="000B7D81"/>
    <w:rsid w:val="000C1994"/>
    <w:rsid w:val="000C1C71"/>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262"/>
    <w:rsid w:val="001259EC"/>
    <w:rsid w:val="00126593"/>
    <w:rsid w:val="00126C01"/>
    <w:rsid w:val="00126DA0"/>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A6B03"/>
    <w:rsid w:val="001B0099"/>
    <w:rsid w:val="001B034E"/>
    <w:rsid w:val="001B66AF"/>
    <w:rsid w:val="001C2847"/>
    <w:rsid w:val="001C3BB5"/>
    <w:rsid w:val="001C3F8C"/>
    <w:rsid w:val="001C445C"/>
    <w:rsid w:val="001C5007"/>
    <w:rsid w:val="001C50BD"/>
    <w:rsid w:val="001C5338"/>
    <w:rsid w:val="001C6097"/>
    <w:rsid w:val="001C7126"/>
    <w:rsid w:val="001D008A"/>
    <w:rsid w:val="001D0794"/>
    <w:rsid w:val="001D7777"/>
    <w:rsid w:val="001E0152"/>
    <w:rsid w:val="001E0FF5"/>
    <w:rsid w:val="001F0095"/>
    <w:rsid w:val="001F36B0"/>
    <w:rsid w:val="001F4CA3"/>
    <w:rsid w:val="001F59E0"/>
    <w:rsid w:val="002002ED"/>
    <w:rsid w:val="00203B8C"/>
    <w:rsid w:val="002044DD"/>
    <w:rsid w:val="002048A4"/>
    <w:rsid w:val="002101DA"/>
    <w:rsid w:val="002170E5"/>
    <w:rsid w:val="002179AC"/>
    <w:rsid w:val="00220D57"/>
    <w:rsid w:val="00223B99"/>
    <w:rsid w:val="0022721A"/>
    <w:rsid w:val="00230BB9"/>
    <w:rsid w:val="00233830"/>
    <w:rsid w:val="00236E4C"/>
    <w:rsid w:val="00241CEF"/>
    <w:rsid w:val="0024275D"/>
    <w:rsid w:val="00244000"/>
    <w:rsid w:val="00246056"/>
    <w:rsid w:val="0025124E"/>
    <w:rsid w:val="00252740"/>
    <w:rsid w:val="00252B30"/>
    <w:rsid w:val="00255291"/>
    <w:rsid w:val="002613E4"/>
    <w:rsid w:val="00262C43"/>
    <w:rsid w:val="0026544B"/>
    <w:rsid w:val="00270F89"/>
    <w:rsid w:val="00276CDC"/>
    <w:rsid w:val="00277655"/>
    <w:rsid w:val="002824B7"/>
    <w:rsid w:val="00282AC4"/>
    <w:rsid w:val="0028334C"/>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5A8"/>
    <w:rsid w:val="002E1B2E"/>
    <w:rsid w:val="002E27EB"/>
    <w:rsid w:val="002E285B"/>
    <w:rsid w:val="002E4EF4"/>
    <w:rsid w:val="002E5246"/>
    <w:rsid w:val="002E78B6"/>
    <w:rsid w:val="002E7CB2"/>
    <w:rsid w:val="002F04AD"/>
    <w:rsid w:val="002F0F1A"/>
    <w:rsid w:val="002F0F1C"/>
    <w:rsid w:val="002F2A9D"/>
    <w:rsid w:val="002F31C2"/>
    <w:rsid w:val="002F7BF6"/>
    <w:rsid w:val="00303FDE"/>
    <w:rsid w:val="00313C5B"/>
    <w:rsid w:val="003140E8"/>
    <w:rsid w:val="003144B7"/>
    <w:rsid w:val="00321702"/>
    <w:rsid w:val="0032195C"/>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2B5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1694"/>
    <w:rsid w:val="004640B3"/>
    <w:rsid w:val="00467A2F"/>
    <w:rsid w:val="004704F4"/>
    <w:rsid w:val="00472BCC"/>
    <w:rsid w:val="00477699"/>
    <w:rsid w:val="00480710"/>
    <w:rsid w:val="00494A88"/>
    <w:rsid w:val="004956B5"/>
    <w:rsid w:val="004A08D0"/>
    <w:rsid w:val="004A25CD"/>
    <w:rsid w:val="004A26CC"/>
    <w:rsid w:val="004A4310"/>
    <w:rsid w:val="004B2108"/>
    <w:rsid w:val="004B212A"/>
    <w:rsid w:val="004B3A2B"/>
    <w:rsid w:val="004B70D3"/>
    <w:rsid w:val="004C0219"/>
    <w:rsid w:val="004C312D"/>
    <w:rsid w:val="004C67DF"/>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0E03"/>
    <w:rsid w:val="00505D83"/>
    <w:rsid w:val="00507A8F"/>
    <w:rsid w:val="00511872"/>
    <w:rsid w:val="00512879"/>
    <w:rsid w:val="00513EC1"/>
    <w:rsid w:val="00514B1F"/>
    <w:rsid w:val="00522FA2"/>
    <w:rsid w:val="00523C5C"/>
    <w:rsid w:val="00524884"/>
    <w:rsid w:val="00525E93"/>
    <w:rsid w:val="0052671D"/>
    <w:rsid w:val="00527DE5"/>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272D1"/>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3895"/>
    <w:rsid w:val="006A502B"/>
    <w:rsid w:val="006B0036"/>
    <w:rsid w:val="006B0DA6"/>
    <w:rsid w:val="006B3FA9"/>
    <w:rsid w:val="006C3055"/>
    <w:rsid w:val="006C547E"/>
    <w:rsid w:val="006C6A11"/>
    <w:rsid w:val="006D1898"/>
    <w:rsid w:val="006D2B51"/>
    <w:rsid w:val="006D5575"/>
    <w:rsid w:val="006D7191"/>
    <w:rsid w:val="006D7992"/>
    <w:rsid w:val="006E21C4"/>
    <w:rsid w:val="006E42BE"/>
    <w:rsid w:val="006E5D4D"/>
    <w:rsid w:val="006E6D16"/>
    <w:rsid w:val="00703F2A"/>
    <w:rsid w:val="0070426E"/>
    <w:rsid w:val="00704C5D"/>
    <w:rsid w:val="007072BC"/>
    <w:rsid w:val="00712F74"/>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175C7"/>
    <w:rsid w:val="00820DEC"/>
    <w:rsid w:val="00822500"/>
    <w:rsid w:val="008278FE"/>
    <w:rsid w:val="00832598"/>
    <w:rsid w:val="008334D9"/>
    <w:rsid w:val="0083397E"/>
    <w:rsid w:val="0083534B"/>
    <w:rsid w:val="0083630E"/>
    <w:rsid w:val="00842035"/>
    <w:rsid w:val="00842602"/>
    <w:rsid w:val="008449F0"/>
    <w:rsid w:val="00846F11"/>
    <w:rsid w:val="00847B45"/>
    <w:rsid w:val="008524DB"/>
    <w:rsid w:val="00863A66"/>
    <w:rsid w:val="008658FD"/>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0122"/>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7B9"/>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A13"/>
    <w:rsid w:val="00A83CC8"/>
    <w:rsid w:val="00A86A50"/>
    <w:rsid w:val="00A86EB1"/>
    <w:rsid w:val="00A8746F"/>
    <w:rsid w:val="00A9178A"/>
    <w:rsid w:val="00A92DEC"/>
    <w:rsid w:val="00A9515B"/>
    <w:rsid w:val="00A97535"/>
    <w:rsid w:val="00AA2BAA"/>
    <w:rsid w:val="00AA6516"/>
    <w:rsid w:val="00AA73E7"/>
    <w:rsid w:val="00AA73F1"/>
    <w:rsid w:val="00AB0E1A"/>
    <w:rsid w:val="00AB1A30"/>
    <w:rsid w:val="00AB2C5F"/>
    <w:rsid w:val="00AB3C36"/>
    <w:rsid w:val="00AB3D30"/>
    <w:rsid w:val="00AC4B09"/>
    <w:rsid w:val="00AC5A01"/>
    <w:rsid w:val="00AC6449"/>
    <w:rsid w:val="00AD10EB"/>
    <w:rsid w:val="00AD1ED3"/>
    <w:rsid w:val="00AD35F4"/>
    <w:rsid w:val="00AD3717"/>
    <w:rsid w:val="00AD74F4"/>
    <w:rsid w:val="00AE204F"/>
    <w:rsid w:val="00AE2741"/>
    <w:rsid w:val="00AE3E23"/>
    <w:rsid w:val="00AE3FDF"/>
    <w:rsid w:val="00AE7982"/>
    <w:rsid w:val="00AF24BC"/>
    <w:rsid w:val="00AF37DA"/>
    <w:rsid w:val="00AF5890"/>
    <w:rsid w:val="00B019C1"/>
    <w:rsid w:val="00B02001"/>
    <w:rsid w:val="00B03C50"/>
    <w:rsid w:val="00B055D7"/>
    <w:rsid w:val="00B0758F"/>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5E5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09BF"/>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439"/>
    <w:rsid w:val="00D51D33"/>
    <w:rsid w:val="00D55284"/>
    <w:rsid w:val="00D57132"/>
    <w:rsid w:val="00D57BB2"/>
    <w:rsid w:val="00D57E57"/>
    <w:rsid w:val="00D611DF"/>
    <w:rsid w:val="00D65405"/>
    <w:rsid w:val="00D70752"/>
    <w:rsid w:val="00D80E2D"/>
    <w:rsid w:val="00D824A6"/>
    <w:rsid w:val="00D84D5E"/>
    <w:rsid w:val="00D8560E"/>
    <w:rsid w:val="00D8758F"/>
    <w:rsid w:val="00DA4EDD"/>
    <w:rsid w:val="00DA6B78"/>
    <w:rsid w:val="00DA6E7D"/>
    <w:rsid w:val="00DB0671"/>
    <w:rsid w:val="00DB122B"/>
    <w:rsid w:val="00DB2AA6"/>
    <w:rsid w:val="00DC1D94"/>
    <w:rsid w:val="00DC4209"/>
    <w:rsid w:val="00DC42CF"/>
    <w:rsid w:val="00DC4D2A"/>
    <w:rsid w:val="00DC6191"/>
    <w:rsid w:val="00DC738A"/>
    <w:rsid w:val="00DC77A2"/>
    <w:rsid w:val="00DD33B2"/>
    <w:rsid w:val="00DD382A"/>
    <w:rsid w:val="00DD592E"/>
    <w:rsid w:val="00DE057F"/>
    <w:rsid w:val="00DE2082"/>
    <w:rsid w:val="00DE2289"/>
    <w:rsid w:val="00DE35BE"/>
    <w:rsid w:val="00DE499C"/>
    <w:rsid w:val="00DE69DB"/>
    <w:rsid w:val="00DE7AE2"/>
    <w:rsid w:val="00DF09A7"/>
    <w:rsid w:val="00DF0DE8"/>
    <w:rsid w:val="00DF1AA6"/>
    <w:rsid w:val="00DF2B51"/>
    <w:rsid w:val="00E001D6"/>
    <w:rsid w:val="00E00897"/>
    <w:rsid w:val="00E03A76"/>
    <w:rsid w:val="00E043F0"/>
    <w:rsid w:val="00E04410"/>
    <w:rsid w:val="00E07484"/>
    <w:rsid w:val="00E11351"/>
    <w:rsid w:val="00E114ED"/>
    <w:rsid w:val="00E17915"/>
    <w:rsid w:val="00E33F44"/>
    <w:rsid w:val="00E37D48"/>
    <w:rsid w:val="00E4225C"/>
    <w:rsid w:val="00E44879"/>
    <w:rsid w:val="00E61530"/>
    <w:rsid w:val="00E66FB1"/>
    <w:rsid w:val="00E72914"/>
    <w:rsid w:val="00E75AE0"/>
    <w:rsid w:val="00E76B61"/>
    <w:rsid w:val="00E774C8"/>
    <w:rsid w:val="00E83C1F"/>
    <w:rsid w:val="00E85684"/>
    <w:rsid w:val="00E86008"/>
    <w:rsid w:val="00E868F8"/>
    <w:rsid w:val="00E8794B"/>
    <w:rsid w:val="00E97656"/>
    <w:rsid w:val="00EA004A"/>
    <w:rsid w:val="00EA172C"/>
    <w:rsid w:val="00EA259B"/>
    <w:rsid w:val="00EA35A3"/>
    <w:rsid w:val="00EA3E6A"/>
    <w:rsid w:val="00EA69CF"/>
    <w:rsid w:val="00EA77C8"/>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1518F"/>
    <w:rsid w:val="00F22B27"/>
    <w:rsid w:val="00F22D13"/>
    <w:rsid w:val="00F234A7"/>
    <w:rsid w:val="00F277B6"/>
    <w:rsid w:val="00F27DA5"/>
    <w:rsid w:val="00F3433D"/>
    <w:rsid w:val="00F37E07"/>
    <w:rsid w:val="00F4182A"/>
    <w:rsid w:val="00F449C6"/>
    <w:rsid w:val="00F464ED"/>
    <w:rsid w:val="00F54380"/>
    <w:rsid w:val="00F54B47"/>
    <w:rsid w:val="00F5538C"/>
    <w:rsid w:val="00F60B9B"/>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5C8E"/>
    <w:rsid w:val="00FD616C"/>
    <w:rsid w:val="00FE38F0"/>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282D3"/>
  <w15:docId w15:val="{EB243707-8FA4-4281-B245-8F9EB6ECF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styleId="ListParagraph">
    <w:name w:val="List Paragraph"/>
    <w:basedOn w:val="Normal"/>
    <w:uiPriority w:val="34"/>
    <w:qFormat/>
    <w:rsid w:val="006D7992"/>
    <w:pPr>
      <w:ind w:left="720"/>
      <w:contextualSpacing/>
    </w:pPr>
    <w:rPr>
      <w:rFonts w:ascii="Calibri" w:eastAsia="Calibri" w:hAnsi="Calibri"/>
    </w:rPr>
  </w:style>
  <w:style w:type="character" w:styleId="CommentReference">
    <w:name w:val="annotation reference"/>
    <w:basedOn w:val="DefaultParagraphFont"/>
    <w:semiHidden/>
    <w:unhideWhenUsed/>
    <w:rsid w:val="00076715"/>
    <w:rPr>
      <w:sz w:val="16"/>
      <w:szCs w:val="16"/>
    </w:rPr>
  </w:style>
  <w:style w:type="paragraph" w:styleId="CommentText">
    <w:name w:val="annotation text"/>
    <w:basedOn w:val="Normal"/>
    <w:link w:val="CommentTextChar"/>
    <w:unhideWhenUsed/>
    <w:rsid w:val="00076715"/>
    <w:rPr>
      <w:sz w:val="20"/>
      <w:szCs w:val="20"/>
    </w:rPr>
  </w:style>
  <w:style w:type="character" w:customStyle="1" w:styleId="CommentTextChar">
    <w:name w:val="Comment Text Char"/>
    <w:basedOn w:val="DefaultParagraphFont"/>
    <w:link w:val="CommentText"/>
    <w:rsid w:val="00076715"/>
  </w:style>
  <w:style w:type="paragraph" w:styleId="CommentSubject">
    <w:name w:val="annotation subject"/>
    <w:basedOn w:val="CommentText"/>
    <w:next w:val="CommentText"/>
    <w:link w:val="CommentSubjectChar"/>
    <w:semiHidden/>
    <w:unhideWhenUsed/>
    <w:rsid w:val="00076715"/>
    <w:rPr>
      <w:b/>
      <w:bCs/>
    </w:rPr>
  </w:style>
  <w:style w:type="character" w:customStyle="1" w:styleId="CommentSubjectChar">
    <w:name w:val="Comment Subject Char"/>
    <w:basedOn w:val="CommentTextChar"/>
    <w:link w:val="CommentSubject"/>
    <w:semiHidden/>
    <w:rsid w:val="00076715"/>
    <w:rPr>
      <w:b/>
      <w:bCs/>
    </w:rPr>
  </w:style>
  <w:style w:type="paragraph" w:styleId="Revision">
    <w:name w:val="Revision"/>
    <w:hidden/>
    <w:uiPriority w:val="99"/>
    <w:semiHidden/>
    <w:rsid w:val="00A874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 w:id="1715160265">
      <w:bodyDiv w:val="1"/>
      <w:marLeft w:val="0"/>
      <w:marRight w:val="0"/>
      <w:marTop w:val="0"/>
      <w:marBottom w:val="0"/>
      <w:divBdr>
        <w:top w:val="none" w:sz="0" w:space="0" w:color="auto"/>
        <w:left w:val="none" w:sz="0" w:space="0" w:color="auto"/>
        <w:bottom w:val="none" w:sz="0" w:space="0" w:color="auto"/>
        <w:right w:val="none" w:sz="0" w:space="0" w:color="auto"/>
      </w:divBdr>
      <w:divsChild>
        <w:div w:id="597521205">
          <w:marLeft w:val="0"/>
          <w:marRight w:val="0"/>
          <w:marTop w:val="0"/>
          <w:marBottom w:val="0"/>
          <w:divBdr>
            <w:top w:val="none" w:sz="0" w:space="0" w:color="3D3D3D"/>
            <w:left w:val="none" w:sz="0" w:space="0" w:color="3D3D3D"/>
            <w:bottom w:val="none" w:sz="0" w:space="0" w:color="3D3D3D"/>
            <w:right w:val="none" w:sz="0" w:space="0" w:color="3D3D3D"/>
          </w:divBdr>
          <w:divsChild>
            <w:div w:id="625812040">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2128354056">
      <w:bodyDiv w:val="1"/>
      <w:marLeft w:val="0"/>
      <w:marRight w:val="0"/>
      <w:marTop w:val="0"/>
      <w:marBottom w:val="0"/>
      <w:divBdr>
        <w:top w:val="none" w:sz="0" w:space="0" w:color="auto"/>
        <w:left w:val="none" w:sz="0" w:space="0" w:color="auto"/>
        <w:bottom w:val="none" w:sz="0" w:space="0" w:color="auto"/>
        <w:right w:val="none" w:sz="0" w:space="0" w:color="auto"/>
      </w:divBdr>
      <w:divsChild>
        <w:div w:id="153840978">
          <w:marLeft w:val="0"/>
          <w:marRight w:val="0"/>
          <w:marTop w:val="0"/>
          <w:marBottom w:val="0"/>
          <w:divBdr>
            <w:top w:val="none" w:sz="0" w:space="0" w:color="3D3D3D"/>
            <w:left w:val="none" w:sz="0" w:space="0" w:color="3D3D3D"/>
            <w:bottom w:val="none" w:sz="0" w:space="0" w:color="3D3D3D"/>
            <w:right w:val="none" w:sz="0" w:space="0" w:color="3D3D3D"/>
          </w:divBdr>
          <w:divsChild>
            <w:div w:id="1866823475">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7382C-5D23-45C7-B9D7-A589FD514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4</TotalTime>
  <Pages>6</Pages>
  <Words>2192</Words>
  <Characters>12500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Florida Public Service Commission</Company>
  <LinksUpToDate>false</LinksUpToDate>
  <CharactersWithSpaces>14663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Lanisha Thornton</dc:creator>
  <cp:lastModifiedBy>Tristan Davis</cp:lastModifiedBy>
  <cp:revision>4</cp:revision>
  <cp:lastPrinted>2026-10-14T13:17:00Z</cp:lastPrinted>
  <dcterms:created xsi:type="dcterms:W3CDTF">2026-10-14T13:01:00Z</dcterms:created>
  <dcterms:modified xsi:type="dcterms:W3CDTF">2026-10-14T13:17:00Z</dcterms:modified>
</cp:coreProperties>
</file>