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B7BBD" w14:textId="77777777" w:rsidR="00212E49" w:rsidRDefault="00212E49" w:rsidP="00212E49">
      <w:pPr>
        <w:pStyle w:val="OrderHeading"/>
      </w:pPr>
      <w:r>
        <w:t>BEFORE THE FLORIDA PUBLIC SERVICE COMMISSION</w:t>
      </w:r>
    </w:p>
    <w:p w14:paraId="3C1F2980" w14:textId="77777777" w:rsidR="00212E49" w:rsidRDefault="00212E49" w:rsidP="00212E49">
      <w:pPr>
        <w:pStyle w:val="OrderBody"/>
      </w:pPr>
    </w:p>
    <w:p w14:paraId="006A39A8" w14:textId="77777777" w:rsidR="00212E49" w:rsidRDefault="00212E49" w:rsidP="00212E49">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212E49" w:rsidRPr="00C63FCF" w14:paraId="340AF6BD" w14:textId="77777777" w:rsidTr="00C63FCF">
        <w:trPr>
          <w:trHeight w:val="828"/>
        </w:trPr>
        <w:tc>
          <w:tcPr>
            <w:tcW w:w="4788" w:type="dxa"/>
            <w:tcBorders>
              <w:bottom w:val="single" w:sz="8" w:space="0" w:color="auto"/>
              <w:right w:val="double" w:sz="6" w:space="0" w:color="auto"/>
            </w:tcBorders>
            <w:shd w:val="clear" w:color="auto" w:fill="auto"/>
          </w:tcPr>
          <w:p w14:paraId="063296C9" w14:textId="116D583A" w:rsidR="00212E49" w:rsidRDefault="00212E49" w:rsidP="00C63FCF">
            <w:pPr>
              <w:pStyle w:val="OrderBody"/>
              <w:tabs>
                <w:tab w:val="center" w:pos="4320"/>
                <w:tab w:val="right" w:pos="8640"/>
              </w:tabs>
              <w:jc w:val="left"/>
            </w:pPr>
            <w:r>
              <w:t xml:space="preserve">In re: </w:t>
            </w:r>
            <w:bookmarkStart w:id="0" w:name="SSInRe"/>
            <w:bookmarkEnd w:id="0"/>
            <w:r>
              <w:t>Proposed amendment of Rule 25-6.049, F.A.C., Measuring Customer Service.</w:t>
            </w:r>
          </w:p>
        </w:tc>
        <w:tc>
          <w:tcPr>
            <w:tcW w:w="4788" w:type="dxa"/>
            <w:tcBorders>
              <w:left w:val="double" w:sz="6" w:space="0" w:color="auto"/>
            </w:tcBorders>
            <w:shd w:val="clear" w:color="auto" w:fill="auto"/>
          </w:tcPr>
          <w:p w14:paraId="5DCF4BB3" w14:textId="2ADE75B9" w:rsidR="00212E49" w:rsidRDefault="00212E49" w:rsidP="00212E49">
            <w:pPr>
              <w:pStyle w:val="OrderBody"/>
            </w:pPr>
            <w:r>
              <w:t xml:space="preserve">DOCKET NO. </w:t>
            </w:r>
            <w:bookmarkStart w:id="1" w:name="SSDocketNo"/>
            <w:bookmarkEnd w:id="1"/>
            <w:r>
              <w:t>20260037-OT</w:t>
            </w:r>
          </w:p>
          <w:p w14:paraId="7497FD94" w14:textId="5E83DFD6" w:rsidR="00212E49" w:rsidRDefault="00212E49" w:rsidP="00C63FCF">
            <w:pPr>
              <w:pStyle w:val="OrderBody"/>
              <w:tabs>
                <w:tab w:val="center" w:pos="4320"/>
                <w:tab w:val="right" w:pos="8640"/>
              </w:tabs>
              <w:jc w:val="left"/>
            </w:pPr>
            <w:r>
              <w:t xml:space="preserve">ORDER NO. </w:t>
            </w:r>
            <w:bookmarkStart w:id="2" w:name="OrderNo0364"/>
            <w:r w:rsidR="00C12773">
              <w:t>PSC-2026-0364-FOF-OT</w:t>
            </w:r>
            <w:bookmarkEnd w:id="2"/>
          </w:p>
          <w:p w14:paraId="05E818C5" w14:textId="3BFEE2CB" w:rsidR="00212E49" w:rsidRDefault="00212E49" w:rsidP="00C63FCF">
            <w:pPr>
              <w:pStyle w:val="OrderBody"/>
              <w:tabs>
                <w:tab w:val="center" w:pos="4320"/>
                <w:tab w:val="right" w:pos="8640"/>
              </w:tabs>
              <w:jc w:val="left"/>
            </w:pPr>
            <w:r>
              <w:t xml:space="preserve">ISSUED: </w:t>
            </w:r>
            <w:r w:rsidR="00C12773">
              <w:t>October 19, 2026</w:t>
            </w:r>
          </w:p>
        </w:tc>
      </w:tr>
    </w:tbl>
    <w:p w14:paraId="117D5D34" w14:textId="77777777" w:rsidR="00212E49" w:rsidRDefault="00212E49" w:rsidP="00212E49"/>
    <w:p w14:paraId="1383C82D" w14:textId="23A87AD7" w:rsidR="00CB5276" w:rsidRDefault="00D611DF" w:rsidP="00212E49">
      <w:r>
        <w:t xml:space="preserve"> </w:t>
      </w:r>
    </w:p>
    <w:p w14:paraId="2D9D8E0F" w14:textId="556C46C8" w:rsidR="00212E49" w:rsidRPr="008D1D5C" w:rsidRDefault="00212E49"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The following Commissioners participated in the disposition of this matter:</w:t>
      </w:r>
    </w:p>
    <w:p w14:paraId="105FAE78" w14:textId="77777777" w:rsidR="00212E49" w:rsidRPr="008D1D5C" w:rsidRDefault="00212E49" w:rsidP="008D1D5C">
      <w:pPr>
        <w:spacing w:line="276" w:lineRule="auto"/>
        <w:jc w:val="center"/>
        <w:rPr>
          <w:rFonts w:eastAsiaTheme="minorHAnsi" w:cstheme="minorBidi"/>
          <w:szCs w:val="22"/>
        </w:rPr>
      </w:pPr>
    </w:p>
    <w:p w14:paraId="41B4DCFA" w14:textId="6C271294" w:rsidR="00212E49" w:rsidRPr="008D1D5C" w:rsidRDefault="00212E49"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528E432D" w14:textId="32009B1F" w:rsidR="00212E49" w:rsidRPr="008D1D5C" w:rsidRDefault="00212E49" w:rsidP="008D1D5C">
      <w:pPr>
        <w:spacing w:line="276" w:lineRule="auto"/>
        <w:jc w:val="center"/>
        <w:rPr>
          <w:rFonts w:eastAsiaTheme="minorHAnsi" w:cstheme="minorBidi"/>
          <w:szCs w:val="22"/>
        </w:rPr>
      </w:pPr>
      <w:r>
        <w:rPr>
          <w:rFonts w:eastAsiaTheme="minorHAnsi" w:cstheme="minorBidi"/>
          <w:szCs w:val="22"/>
        </w:rPr>
        <w:t>GARY F. CLARK</w:t>
      </w:r>
    </w:p>
    <w:p w14:paraId="36B405D1" w14:textId="5C4BC8B4" w:rsidR="00212E49" w:rsidRPr="008D1D5C" w:rsidRDefault="00212E49" w:rsidP="008D1D5C">
      <w:pPr>
        <w:spacing w:line="276" w:lineRule="auto"/>
        <w:jc w:val="center"/>
        <w:rPr>
          <w:rFonts w:eastAsiaTheme="minorHAnsi" w:cstheme="minorBidi"/>
          <w:szCs w:val="22"/>
        </w:rPr>
      </w:pPr>
      <w:r>
        <w:rPr>
          <w:rFonts w:eastAsiaTheme="minorHAnsi" w:cstheme="minorBidi"/>
          <w:szCs w:val="22"/>
        </w:rPr>
        <w:t>MIKE LA ROSA</w:t>
      </w:r>
    </w:p>
    <w:p w14:paraId="334FEF0E" w14:textId="625F966D" w:rsidR="00212E49" w:rsidRPr="008D1D5C" w:rsidRDefault="00212E49" w:rsidP="008D1D5C">
      <w:pPr>
        <w:spacing w:line="276" w:lineRule="auto"/>
        <w:jc w:val="center"/>
        <w:rPr>
          <w:rFonts w:eastAsiaTheme="minorHAnsi" w:cstheme="minorBidi"/>
          <w:szCs w:val="22"/>
        </w:rPr>
      </w:pPr>
      <w:r>
        <w:rPr>
          <w:rFonts w:eastAsiaTheme="minorHAnsi" w:cstheme="minorBidi"/>
          <w:szCs w:val="22"/>
        </w:rPr>
        <w:t>BOBBY PAYNE</w:t>
      </w:r>
    </w:p>
    <w:p w14:paraId="1C92B48B" w14:textId="081AC92A" w:rsidR="00212E49" w:rsidRPr="008D1D5C" w:rsidRDefault="00212E49" w:rsidP="008D1D5C">
      <w:pPr>
        <w:spacing w:line="276" w:lineRule="auto"/>
        <w:jc w:val="center"/>
        <w:rPr>
          <w:rFonts w:eastAsiaTheme="minorHAnsi" w:cstheme="minorBidi"/>
          <w:szCs w:val="22"/>
        </w:rPr>
      </w:pPr>
      <w:r>
        <w:rPr>
          <w:rFonts w:eastAsiaTheme="minorHAnsi" w:cstheme="minorBidi"/>
          <w:szCs w:val="22"/>
        </w:rPr>
        <w:t>ANA ORTEGA</w:t>
      </w:r>
    </w:p>
    <w:p w14:paraId="432504C6" w14:textId="77777777" w:rsidR="00212E49" w:rsidRPr="008D1D5C" w:rsidRDefault="00212E49" w:rsidP="008D1D5C">
      <w:pPr>
        <w:spacing w:line="276" w:lineRule="auto"/>
        <w:rPr>
          <w:rFonts w:eastAsiaTheme="minorHAnsi" w:cstheme="minorBidi"/>
          <w:szCs w:val="22"/>
        </w:rPr>
      </w:pPr>
    </w:p>
    <w:p w14:paraId="41A32643" w14:textId="77777777" w:rsidR="00CB5276" w:rsidRDefault="00CB5276">
      <w:pPr>
        <w:pStyle w:val="OrderBody"/>
      </w:pPr>
    </w:p>
    <w:p w14:paraId="50DA9230" w14:textId="274666AB" w:rsidR="00212E49" w:rsidRDefault="00212E49" w:rsidP="00212E49">
      <w:pPr>
        <w:pStyle w:val="CenterUnderline"/>
      </w:pPr>
      <w:bookmarkStart w:id="4" w:name="OrderTitle"/>
      <w:r>
        <w:t>NOTICE OF ADOPTION OF RULE</w:t>
      </w:r>
      <w:bookmarkEnd w:id="4"/>
    </w:p>
    <w:p w14:paraId="6B597913" w14:textId="77777777" w:rsidR="00212E49" w:rsidRDefault="00212E49" w:rsidP="00212E49">
      <w:pPr>
        <w:pStyle w:val="CenterUnderline"/>
      </w:pPr>
    </w:p>
    <w:p w14:paraId="644DE537" w14:textId="1B5F58EE" w:rsidR="00212E49" w:rsidRPr="006B662A" w:rsidRDefault="00212E49" w:rsidP="00212E49">
      <w:pPr>
        <w:pStyle w:val="OrderBody"/>
      </w:pPr>
      <w:r w:rsidRPr="006B662A">
        <w:t>BY THE COMMISSION:</w:t>
      </w:r>
    </w:p>
    <w:p w14:paraId="3838B240" w14:textId="77777777" w:rsidR="00212E49" w:rsidRPr="006B662A" w:rsidRDefault="00212E49" w:rsidP="00212E49">
      <w:pPr>
        <w:pStyle w:val="OrderBody"/>
      </w:pPr>
    </w:p>
    <w:p w14:paraId="2FA9FBD7" w14:textId="35E44584" w:rsidR="006B662A" w:rsidRPr="006B662A" w:rsidRDefault="006B662A" w:rsidP="006B662A">
      <w:pPr>
        <w:jc w:val="both"/>
      </w:pPr>
      <w:bookmarkStart w:id="5" w:name="OrderText"/>
      <w:bookmarkEnd w:id="5"/>
      <w:r w:rsidRPr="006B662A">
        <w:tab/>
        <w:t>NOTICE is hereby given that the Florida Public Service Commission, pursuant to Section 120.54, Florida Statutes, has adopted without changes Rule 25-6</w:t>
      </w:r>
      <w:r w:rsidR="00107825">
        <w:t>.</w:t>
      </w:r>
      <w:r w:rsidRPr="006B662A">
        <w:t>049, Florida Administrative Code.</w:t>
      </w:r>
    </w:p>
    <w:p w14:paraId="272F3F39" w14:textId="77777777" w:rsidR="006B662A" w:rsidRPr="006B662A" w:rsidRDefault="006B662A" w:rsidP="006B662A">
      <w:pPr>
        <w:jc w:val="both"/>
      </w:pPr>
    </w:p>
    <w:p w14:paraId="5A99388F" w14:textId="2D9497CE" w:rsidR="006B662A" w:rsidRPr="006B662A" w:rsidRDefault="006B662A" w:rsidP="006B662A">
      <w:pPr>
        <w:jc w:val="both"/>
      </w:pPr>
      <w:r w:rsidRPr="006B662A">
        <w:tab/>
        <w:t xml:space="preserve">The rule was filed with the Department of State on </w:t>
      </w:r>
      <w:r>
        <w:t xml:space="preserve">October 19, 2026, </w:t>
      </w:r>
      <w:r w:rsidRPr="006B662A">
        <w:t xml:space="preserve">and will be effective on </w:t>
      </w:r>
      <w:r w:rsidR="00CC6E09">
        <w:t>November 8, 2026</w:t>
      </w:r>
      <w:r w:rsidRPr="006B662A">
        <w:t>. A copy of the rul</w:t>
      </w:r>
      <w:r>
        <w:t>e</w:t>
      </w:r>
      <w:r w:rsidRPr="006B662A">
        <w:t xml:space="preserve"> as filed with the Department is attached to this Notice.</w:t>
      </w:r>
    </w:p>
    <w:p w14:paraId="431BB166" w14:textId="77777777" w:rsidR="006B662A" w:rsidRPr="006B662A" w:rsidRDefault="006B662A" w:rsidP="006B662A">
      <w:pPr>
        <w:jc w:val="both"/>
      </w:pPr>
    </w:p>
    <w:p w14:paraId="18715BAA" w14:textId="77777777" w:rsidR="006B662A" w:rsidRPr="006B662A" w:rsidRDefault="006B662A" w:rsidP="006B662A">
      <w:pPr>
        <w:jc w:val="both"/>
      </w:pPr>
      <w:r w:rsidRPr="006B662A">
        <w:tab/>
        <w:t>This docket is closed upon issuance of this Notice.</w:t>
      </w:r>
    </w:p>
    <w:p w14:paraId="4FD658C8" w14:textId="77777777" w:rsidR="006B662A" w:rsidRPr="006B662A" w:rsidRDefault="006B662A" w:rsidP="006B662A">
      <w:pPr>
        <w:jc w:val="both"/>
      </w:pPr>
    </w:p>
    <w:p w14:paraId="2AFFAFDC" w14:textId="77777777" w:rsidR="00CB5276" w:rsidRPr="006B662A" w:rsidRDefault="00CB5276">
      <w:pPr>
        <w:pStyle w:val="OrderBody"/>
      </w:pPr>
    </w:p>
    <w:p w14:paraId="7981B51E" w14:textId="77777777" w:rsidR="00212E49" w:rsidRDefault="00212E49">
      <w:pPr>
        <w:pStyle w:val="OrderBody"/>
      </w:pPr>
    </w:p>
    <w:p w14:paraId="3AEC7794" w14:textId="77777777" w:rsidR="00212E49" w:rsidRDefault="00212E49">
      <w:pPr>
        <w:pStyle w:val="OrderBody"/>
      </w:pPr>
    </w:p>
    <w:p w14:paraId="4BDAEAA7" w14:textId="19687D0F" w:rsidR="00212E49" w:rsidRDefault="00212E49" w:rsidP="00212E49">
      <w:pPr>
        <w:pStyle w:val="OrderBody"/>
        <w:keepNext/>
        <w:keepLines/>
      </w:pPr>
      <w:r>
        <w:lastRenderedPageBreak/>
        <w:tab/>
        <w:t xml:space="preserve">By ORDER of the Florida Public Service Commission this </w:t>
      </w:r>
      <w:bookmarkStart w:id="6" w:name="replaceDate"/>
      <w:bookmarkEnd w:id="6"/>
      <w:r w:rsidR="00C12773">
        <w:rPr>
          <w:u w:val="single"/>
        </w:rPr>
        <w:t>19th</w:t>
      </w:r>
      <w:r w:rsidR="00C12773">
        <w:t xml:space="preserve"> day of </w:t>
      </w:r>
      <w:r w:rsidR="00C12773">
        <w:rPr>
          <w:u w:val="single"/>
        </w:rPr>
        <w:t>October</w:t>
      </w:r>
      <w:r w:rsidR="00C12773">
        <w:t xml:space="preserve">, </w:t>
      </w:r>
      <w:r w:rsidR="00C12773">
        <w:rPr>
          <w:u w:val="single"/>
        </w:rPr>
        <w:t>2026</w:t>
      </w:r>
      <w:r w:rsidR="00C12773">
        <w:t>.</w:t>
      </w:r>
    </w:p>
    <w:p w14:paraId="01142DD4" w14:textId="77777777" w:rsidR="00C12773" w:rsidRPr="00C12773" w:rsidRDefault="00C12773" w:rsidP="00212E49">
      <w:pPr>
        <w:pStyle w:val="OrderBody"/>
        <w:keepNext/>
        <w:keepLines/>
      </w:pPr>
    </w:p>
    <w:p w14:paraId="5BD49ABE" w14:textId="77777777" w:rsidR="00212E49" w:rsidRDefault="00212E49" w:rsidP="00212E49">
      <w:pPr>
        <w:pStyle w:val="OrderBody"/>
        <w:keepNext/>
        <w:keepLines/>
      </w:pPr>
    </w:p>
    <w:p w14:paraId="105AAB34" w14:textId="77777777" w:rsidR="00212E49" w:rsidRDefault="00212E49" w:rsidP="00212E49">
      <w:pPr>
        <w:pStyle w:val="OrderBody"/>
        <w:keepNext/>
        <w:keepLines/>
      </w:pPr>
    </w:p>
    <w:p w14:paraId="58B5B08F" w14:textId="77777777" w:rsidR="00212E49" w:rsidRDefault="00212E49" w:rsidP="00212E49">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212E49" w14:paraId="475035C2" w14:textId="77777777" w:rsidTr="00212E49">
        <w:tc>
          <w:tcPr>
            <w:tcW w:w="720" w:type="dxa"/>
            <w:shd w:val="clear" w:color="auto" w:fill="auto"/>
          </w:tcPr>
          <w:p w14:paraId="48251564" w14:textId="77777777" w:rsidR="00212E49" w:rsidRDefault="00212E49" w:rsidP="00212E49">
            <w:pPr>
              <w:pStyle w:val="OrderBody"/>
              <w:keepNext/>
              <w:keepLines/>
            </w:pPr>
            <w:bookmarkStart w:id="7" w:name="bkmrkSignature" w:colFirst="0" w:colLast="0"/>
          </w:p>
        </w:tc>
        <w:tc>
          <w:tcPr>
            <w:tcW w:w="4320" w:type="dxa"/>
            <w:tcBorders>
              <w:bottom w:val="single" w:sz="4" w:space="0" w:color="auto"/>
            </w:tcBorders>
            <w:shd w:val="clear" w:color="auto" w:fill="auto"/>
          </w:tcPr>
          <w:p w14:paraId="51B27C1D" w14:textId="19A0BAC4" w:rsidR="00212E49" w:rsidRDefault="00C86EFD" w:rsidP="00212E49">
            <w:pPr>
              <w:pStyle w:val="OrderBody"/>
              <w:keepNext/>
              <w:keepLines/>
            </w:pPr>
            <w:r>
              <w:t>/s/ Adam J. Teitzman</w:t>
            </w:r>
          </w:p>
        </w:tc>
      </w:tr>
      <w:bookmarkEnd w:id="7"/>
      <w:tr w:rsidR="00212E49" w14:paraId="59516C4E" w14:textId="77777777" w:rsidTr="00212E49">
        <w:tc>
          <w:tcPr>
            <w:tcW w:w="720" w:type="dxa"/>
            <w:shd w:val="clear" w:color="auto" w:fill="auto"/>
          </w:tcPr>
          <w:p w14:paraId="6B2B296B" w14:textId="77777777" w:rsidR="00212E49" w:rsidRDefault="00212E49" w:rsidP="00212E49">
            <w:pPr>
              <w:pStyle w:val="OrderBody"/>
              <w:keepNext/>
              <w:keepLines/>
            </w:pPr>
          </w:p>
        </w:tc>
        <w:tc>
          <w:tcPr>
            <w:tcW w:w="4320" w:type="dxa"/>
            <w:tcBorders>
              <w:top w:val="single" w:sz="4" w:space="0" w:color="auto"/>
            </w:tcBorders>
            <w:shd w:val="clear" w:color="auto" w:fill="auto"/>
          </w:tcPr>
          <w:p w14:paraId="6C53D94A" w14:textId="77777777" w:rsidR="00212E49" w:rsidRDefault="00212E49" w:rsidP="00212E49">
            <w:pPr>
              <w:pStyle w:val="OrderBody"/>
              <w:keepNext/>
              <w:keepLines/>
            </w:pPr>
            <w:r>
              <w:t>ADAM TEITZMAN</w:t>
            </w:r>
          </w:p>
          <w:p w14:paraId="71E0D4D2" w14:textId="67C3D827" w:rsidR="00212E49" w:rsidRDefault="00212E49" w:rsidP="00212E49">
            <w:pPr>
              <w:pStyle w:val="OrderBody"/>
              <w:keepNext/>
              <w:keepLines/>
            </w:pPr>
            <w:r>
              <w:t>Commission Clerk</w:t>
            </w:r>
          </w:p>
        </w:tc>
      </w:tr>
    </w:tbl>
    <w:p w14:paraId="6B2AE68B" w14:textId="77777777" w:rsidR="00212E49" w:rsidRDefault="00212E49" w:rsidP="00212E49">
      <w:pPr>
        <w:pStyle w:val="OrderSigInfo"/>
        <w:keepNext/>
        <w:keepLines/>
      </w:pPr>
      <w:r>
        <w:t>Florida Public Service Commission</w:t>
      </w:r>
    </w:p>
    <w:p w14:paraId="62640D04" w14:textId="77777777" w:rsidR="00212E49" w:rsidRDefault="00212E49" w:rsidP="00212E49">
      <w:pPr>
        <w:pStyle w:val="OrderSigInfo"/>
        <w:keepNext/>
        <w:keepLines/>
      </w:pPr>
      <w:r>
        <w:t>2540 Shumard Oak Boulevard</w:t>
      </w:r>
    </w:p>
    <w:p w14:paraId="433BFC7D" w14:textId="77777777" w:rsidR="00212E49" w:rsidRDefault="00212E49" w:rsidP="00212E49">
      <w:pPr>
        <w:pStyle w:val="OrderSigInfo"/>
        <w:keepNext/>
        <w:keepLines/>
      </w:pPr>
      <w:r>
        <w:t>Tallahassee, Florida 32399</w:t>
      </w:r>
    </w:p>
    <w:p w14:paraId="3F4229DC" w14:textId="77777777" w:rsidR="00212E49" w:rsidRDefault="00212E49" w:rsidP="00212E49">
      <w:pPr>
        <w:pStyle w:val="OrderSigInfo"/>
        <w:keepNext/>
        <w:keepLines/>
      </w:pPr>
      <w:r>
        <w:t>(850) 413</w:t>
      </w:r>
      <w:r>
        <w:noBreakHyphen/>
        <w:t>6770</w:t>
      </w:r>
    </w:p>
    <w:p w14:paraId="6034BDB8" w14:textId="77777777" w:rsidR="00212E49" w:rsidRDefault="00212E49" w:rsidP="00212E49">
      <w:pPr>
        <w:pStyle w:val="OrderSigInfo"/>
        <w:keepNext/>
        <w:keepLines/>
      </w:pPr>
      <w:r>
        <w:t>www.floridapsc.com</w:t>
      </w:r>
    </w:p>
    <w:p w14:paraId="784AC427" w14:textId="77777777" w:rsidR="00212E49" w:rsidRDefault="00212E49" w:rsidP="00212E49">
      <w:pPr>
        <w:pStyle w:val="OrderSigInfo"/>
        <w:keepNext/>
        <w:keepLines/>
      </w:pPr>
    </w:p>
    <w:p w14:paraId="2DD617D4" w14:textId="77777777" w:rsidR="00212E49" w:rsidRDefault="00212E49" w:rsidP="00212E49">
      <w:pPr>
        <w:pStyle w:val="OrderSigInfo"/>
        <w:keepNext/>
        <w:keepLines/>
      </w:pPr>
      <w:r>
        <w:t>Copies furnished:  A copy of this document is provided to the parties of record at the time of issuance and, if applicable, interested persons.</w:t>
      </w:r>
    </w:p>
    <w:p w14:paraId="71380119" w14:textId="1C9F7EF4" w:rsidR="00212E49" w:rsidRDefault="00212E49" w:rsidP="00212E49">
      <w:pPr>
        <w:pStyle w:val="OrderBody"/>
        <w:keepNext/>
        <w:keepLines/>
      </w:pPr>
    </w:p>
    <w:p w14:paraId="69316EC8" w14:textId="77777777" w:rsidR="00212E49" w:rsidRDefault="00212E49" w:rsidP="00212E49">
      <w:pPr>
        <w:pStyle w:val="OrderBody"/>
        <w:keepNext/>
        <w:keepLines/>
      </w:pPr>
    </w:p>
    <w:p w14:paraId="0051FA1C" w14:textId="00CA64B2" w:rsidR="00212E49" w:rsidRDefault="00212E49" w:rsidP="00212E49">
      <w:pPr>
        <w:pStyle w:val="OrderBody"/>
        <w:keepNext/>
        <w:keepLines/>
      </w:pPr>
      <w:r>
        <w:t>SS</w:t>
      </w:r>
    </w:p>
    <w:p w14:paraId="3E448C55" w14:textId="77777777" w:rsidR="00212E49" w:rsidRDefault="00212E49" w:rsidP="00212E49">
      <w:pPr>
        <w:pStyle w:val="OrderBody"/>
      </w:pPr>
    </w:p>
    <w:p w14:paraId="31E5FA07" w14:textId="77777777" w:rsidR="00212E49" w:rsidRDefault="00212E49" w:rsidP="00212E49">
      <w:pPr>
        <w:pStyle w:val="OrderBody"/>
      </w:pPr>
    </w:p>
    <w:p w14:paraId="79D75725" w14:textId="77777777" w:rsidR="00212E49" w:rsidRDefault="00212E49" w:rsidP="00212E49">
      <w:pPr>
        <w:pStyle w:val="OrderBody"/>
      </w:pPr>
    </w:p>
    <w:p w14:paraId="3EB006D3" w14:textId="77777777" w:rsidR="00212E49" w:rsidRDefault="00212E49" w:rsidP="00212E49">
      <w:pPr>
        <w:pStyle w:val="OrderBody"/>
      </w:pPr>
    </w:p>
    <w:p w14:paraId="4F12566B" w14:textId="77777777" w:rsidR="00212E49" w:rsidRDefault="00212E49">
      <w:pPr>
        <w:pStyle w:val="OrderBody"/>
        <w:sectPr w:rsidR="00212E49">
          <w:headerReference w:type="default" r:id="rId7"/>
          <w:footerReference w:type="first" r:id="rId8"/>
          <w:pgSz w:w="12240" w:h="15840" w:code="1"/>
          <w:pgMar w:top="1440" w:right="1440" w:bottom="1440" w:left="1440" w:header="720" w:footer="720" w:gutter="0"/>
          <w:cols w:space="720"/>
          <w:titlePg/>
          <w:docGrid w:linePitch="360"/>
        </w:sectPr>
      </w:pPr>
    </w:p>
    <w:p w14:paraId="113B3253" w14:textId="77777777" w:rsidR="00CD4C7E" w:rsidRPr="00CD4C7E" w:rsidRDefault="00CD4C7E" w:rsidP="00CD4C7E">
      <w:pPr>
        <w:tabs>
          <w:tab w:val="left" w:pos="360"/>
        </w:tabs>
        <w:spacing w:line="480" w:lineRule="auto"/>
        <w:ind w:firstLine="360"/>
        <w:jc w:val="both"/>
        <w:rPr>
          <w:sz w:val="20"/>
        </w:rPr>
      </w:pPr>
      <w:r w:rsidRPr="00CD4C7E">
        <w:rPr>
          <w:b/>
          <w:bCs/>
          <w:color w:val="000000"/>
          <w:sz w:val="20"/>
          <w:szCs w:val="20"/>
        </w:rPr>
        <w:lastRenderedPageBreak/>
        <w:t>25-6.049 Measuring Customer Service.</w:t>
      </w:r>
    </w:p>
    <w:p w14:paraId="270658CB" w14:textId="77777777" w:rsidR="00CD4C7E" w:rsidRPr="00CD4C7E" w:rsidRDefault="00CD4C7E" w:rsidP="00CD4C7E">
      <w:pPr>
        <w:spacing w:line="480" w:lineRule="auto"/>
        <w:ind w:firstLine="360"/>
        <w:jc w:val="both"/>
        <w:rPr>
          <w:sz w:val="20"/>
        </w:rPr>
      </w:pPr>
      <w:r w:rsidRPr="00CD4C7E">
        <w:rPr>
          <w:color w:val="000000"/>
          <w:sz w:val="20"/>
          <w:szCs w:val="20"/>
        </w:rPr>
        <w:t>(1)</w:t>
      </w:r>
      <w:r w:rsidRPr="00CD4C7E">
        <w:rPr>
          <w:color w:val="000000"/>
          <w:sz w:val="20"/>
          <w:szCs w:val="14"/>
        </w:rPr>
        <w:t xml:space="preserve"> </w:t>
      </w:r>
      <w:r w:rsidRPr="00CD4C7E">
        <w:rPr>
          <w:color w:val="000000"/>
          <w:sz w:val="20"/>
          <w:szCs w:val="20"/>
        </w:rPr>
        <w:t>through (4) No change.</w:t>
      </w:r>
    </w:p>
    <w:p w14:paraId="398937E4" w14:textId="77777777" w:rsidR="00CD4C7E" w:rsidRPr="00CD4C7E" w:rsidRDefault="00CD4C7E" w:rsidP="00CD4C7E">
      <w:pPr>
        <w:spacing w:line="480" w:lineRule="auto"/>
        <w:ind w:firstLine="360"/>
        <w:jc w:val="both"/>
        <w:rPr>
          <w:sz w:val="20"/>
        </w:rPr>
      </w:pPr>
      <w:r w:rsidRPr="00CD4C7E">
        <w:rPr>
          <w:color w:val="000000"/>
          <w:sz w:val="20"/>
          <w:szCs w:val="20"/>
        </w:rPr>
        <w:t>(5) Individual electric metering by the utility shall be required for each separate occupancy unit of new commercial establishments, residential buildings, condominiums, cooperatives, marinas, and trailer, mobile home and recreational vehicle parks. However, individual metering shall not be required for any such occupancy unit for which a construction permit was issued before, and which has received master-metered service continuously since January 1, 1981. In addition, individual electric meters shall not be required:</w:t>
      </w:r>
    </w:p>
    <w:p w14:paraId="6031FEFE" w14:textId="77777777" w:rsidR="00CD4C7E" w:rsidRPr="00CD4C7E" w:rsidRDefault="00CD4C7E" w:rsidP="00CD4C7E">
      <w:pPr>
        <w:spacing w:line="480" w:lineRule="auto"/>
        <w:ind w:firstLine="360"/>
        <w:jc w:val="both"/>
        <w:rPr>
          <w:sz w:val="20"/>
        </w:rPr>
      </w:pPr>
      <w:r w:rsidRPr="00CD4C7E">
        <w:rPr>
          <w:color w:val="000000"/>
          <w:sz w:val="20"/>
          <w:szCs w:val="20"/>
        </w:rPr>
        <w:t>(a) through (c) No change.</w:t>
      </w:r>
    </w:p>
    <w:p w14:paraId="791035F4" w14:textId="77777777" w:rsidR="00CD4C7E" w:rsidRPr="00CD4C7E" w:rsidRDefault="00CD4C7E" w:rsidP="00CD4C7E">
      <w:pPr>
        <w:spacing w:line="480" w:lineRule="auto"/>
        <w:ind w:firstLine="360"/>
        <w:jc w:val="both"/>
        <w:rPr>
          <w:sz w:val="20"/>
        </w:rPr>
      </w:pPr>
      <w:r w:rsidRPr="00CD4C7E">
        <w:rPr>
          <w:color w:val="000000"/>
          <w:sz w:val="20"/>
          <w:szCs w:val="20"/>
        </w:rPr>
        <w:t xml:space="preserve">(d) For </w:t>
      </w:r>
      <w:r w:rsidRPr="00CD4C7E">
        <w:rPr>
          <w:color w:val="000000"/>
          <w:sz w:val="20"/>
          <w:szCs w:val="20"/>
          <w:u w:val="single"/>
        </w:rPr>
        <w:t>transient public</w:t>
      </w:r>
      <w:r w:rsidRPr="00CD4C7E">
        <w:rPr>
          <w:color w:val="000000"/>
          <w:sz w:val="20"/>
          <w:szCs w:val="20"/>
        </w:rPr>
        <w:t xml:space="preserve"> lodging establishments </w:t>
      </w:r>
      <w:r w:rsidRPr="00CD4C7E">
        <w:rPr>
          <w:color w:val="000000"/>
          <w:sz w:val="20"/>
          <w:szCs w:val="20"/>
          <w:u w:val="single"/>
        </w:rPr>
        <w:t>as defined by Section 509.013, F.S., and classified as such in Section 509.242, F.S.</w:t>
      </w:r>
      <w:r w:rsidRPr="00CD4C7E">
        <w:rPr>
          <w:color w:val="000000"/>
          <w:sz w:val="20"/>
          <w:szCs w:val="20"/>
        </w:rPr>
        <w:t xml:space="preserve"> </w:t>
      </w:r>
      <w:r w:rsidRPr="00CD4C7E">
        <w:rPr>
          <w:strike/>
          <w:color w:val="000000"/>
          <w:sz w:val="20"/>
          <w:szCs w:val="20"/>
        </w:rPr>
        <w:t>such as hotels, motels, and similar facilities which are rented, leased, or otherwise provided to guests by an operator providing overnight occupancy as defined in paragraph (8)(b)</w:t>
      </w:r>
      <w:r w:rsidRPr="00CD4C7E">
        <w:rPr>
          <w:color w:val="000000"/>
          <w:sz w:val="20"/>
          <w:szCs w:val="20"/>
        </w:rPr>
        <w:t>;</w:t>
      </w:r>
    </w:p>
    <w:p w14:paraId="7DF2D01E"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 xml:space="preserve">(e) For </w:t>
      </w:r>
      <w:r w:rsidRPr="00CD4C7E">
        <w:rPr>
          <w:strike/>
          <w:color w:val="000000"/>
          <w:sz w:val="20"/>
          <w:szCs w:val="20"/>
        </w:rPr>
        <w:t>separate, specially-designated</w:t>
      </w:r>
      <w:r w:rsidRPr="00CD4C7E">
        <w:rPr>
          <w:color w:val="000000"/>
          <w:sz w:val="20"/>
          <w:szCs w:val="20"/>
        </w:rPr>
        <w:t xml:space="preserve"> areas </w:t>
      </w:r>
      <w:r w:rsidRPr="00CD4C7E">
        <w:rPr>
          <w:color w:val="000000"/>
          <w:sz w:val="20"/>
          <w:szCs w:val="20"/>
          <w:u w:val="single"/>
        </w:rPr>
        <w:t>of</w:t>
      </w:r>
      <w:r w:rsidRPr="00CD4C7E">
        <w:rPr>
          <w:color w:val="000000"/>
          <w:sz w:val="20"/>
          <w:szCs w:val="20"/>
        </w:rPr>
        <w:t xml:space="preserve"> </w:t>
      </w:r>
      <w:r w:rsidRPr="00CD4C7E">
        <w:rPr>
          <w:strike/>
          <w:color w:val="000000"/>
          <w:sz w:val="20"/>
          <w:szCs w:val="20"/>
        </w:rPr>
        <w:t>for overnight occupancy, as defined in paragraph (8)(b), at</w:t>
      </w:r>
      <w:r w:rsidRPr="00CD4C7E">
        <w:rPr>
          <w:color w:val="000000"/>
          <w:sz w:val="20"/>
          <w:szCs w:val="20"/>
        </w:rPr>
        <w:t xml:space="preserve"> trailer, mobile home and recreational vehicle parks and marinas </w:t>
      </w:r>
      <w:r w:rsidRPr="00CD4C7E">
        <w:rPr>
          <w:color w:val="000000"/>
          <w:sz w:val="20"/>
          <w:szCs w:val="20"/>
          <w:u w:val="single"/>
        </w:rPr>
        <w:t>at which</w:t>
      </w:r>
      <w:r w:rsidRPr="00CD4C7E">
        <w:rPr>
          <w:color w:val="000000"/>
          <w:sz w:val="20"/>
          <w:szCs w:val="20"/>
        </w:rPr>
        <w:t xml:space="preserve"> </w:t>
      </w:r>
      <w:r w:rsidRPr="00CD4C7E">
        <w:rPr>
          <w:strike/>
          <w:color w:val="000000"/>
          <w:sz w:val="20"/>
          <w:szCs w:val="20"/>
        </w:rPr>
        <w:t>where</w:t>
      </w:r>
      <w:r w:rsidRPr="00CD4C7E">
        <w:rPr>
          <w:color w:val="000000"/>
          <w:sz w:val="20"/>
          <w:szCs w:val="20"/>
        </w:rPr>
        <w:t xml:space="preserve"> permanent </w:t>
      </w:r>
      <w:r w:rsidRPr="00CD4C7E">
        <w:rPr>
          <w:color w:val="000000"/>
          <w:sz w:val="20"/>
          <w:szCs w:val="20"/>
          <w:u w:val="single"/>
        </w:rPr>
        <w:t>occupancy, as defined in subsection (8) of this rule</w:t>
      </w:r>
      <w:r w:rsidRPr="00CD4C7E">
        <w:rPr>
          <w:color w:val="000000"/>
          <w:sz w:val="20"/>
          <w:szCs w:val="20"/>
        </w:rPr>
        <w:t xml:space="preserve"> </w:t>
      </w:r>
      <w:r w:rsidRPr="00CD4C7E">
        <w:rPr>
          <w:strike/>
          <w:color w:val="000000"/>
          <w:sz w:val="20"/>
          <w:szCs w:val="20"/>
        </w:rPr>
        <w:t>residency</w:t>
      </w:r>
      <w:r w:rsidRPr="00CD4C7E">
        <w:rPr>
          <w:color w:val="000000"/>
          <w:sz w:val="20"/>
          <w:szCs w:val="20"/>
        </w:rPr>
        <w:t xml:space="preserve"> is not established;</w:t>
      </w:r>
    </w:p>
    <w:p w14:paraId="6727001D"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(f) No change.</w:t>
      </w:r>
    </w:p>
    <w:p w14:paraId="5E3C440E"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(g) For condominiums that meet the following criteria:</w:t>
      </w:r>
    </w:p>
    <w:p w14:paraId="490BC007"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 xml:space="preserve">1. </w:t>
      </w:r>
      <w:r w:rsidRPr="00CD4C7E">
        <w:rPr>
          <w:strike/>
          <w:color w:val="000000"/>
          <w:sz w:val="20"/>
          <w:szCs w:val="20"/>
        </w:rPr>
        <w:t>The declaration of condominium requires that</w:t>
      </w:r>
      <w:r w:rsidRPr="00CD4C7E">
        <w:rPr>
          <w:color w:val="000000"/>
          <w:sz w:val="20"/>
          <w:szCs w:val="20"/>
        </w:rPr>
        <w:t xml:space="preserve"> </w:t>
      </w:r>
      <w:r w:rsidRPr="00CD4C7E">
        <w:rPr>
          <w:color w:val="000000"/>
          <w:sz w:val="20"/>
          <w:szCs w:val="20"/>
          <w:u w:val="single"/>
        </w:rPr>
        <w:t>A</w:t>
      </w:r>
      <w:r w:rsidRPr="00CD4C7E">
        <w:rPr>
          <w:strike/>
          <w:color w:val="000000"/>
          <w:sz w:val="20"/>
          <w:szCs w:val="20"/>
        </w:rPr>
        <w:t>a</w:t>
      </w:r>
      <w:r w:rsidRPr="00CD4C7E">
        <w:rPr>
          <w:color w:val="000000"/>
          <w:sz w:val="20"/>
          <w:szCs w:val="20"/>
        </w:rPr>
        <w:t xml:space="preserve">t least </w:t>
      </w:r>
      <w:r w:rsidRPr="00CD4C7E">
        <w:rPr>
          <w:color w:val="000000"/>
          <w:sz w:val="20"/>
          <w:szCs w:val="20"/>
          <w:u w:val="single"/>
        </w:rPr>
        <w:t>75</w:t>
      </w:r>
      <w:r w:rsidRPr="00CD4C7E">
        <w:rPr>
          <w:color w:val="000000"/>
          <w:sz w:val="20"/>
          <w:szCs w:val="20"/>
        </w:rPr>
        <w:t xml:space="preserve"> </w:t>
      </w:r>
      <w:r w:rsidRPr="00CD4C7E">
        <w:rPr>
          <w:strike/>
          <w:color w:val="000000"/>
          <w:sz w:val="20"/>
          <w:szCs w:val="20"/>
        </w:rPr>
        <w:t>95</w:t>
      </w:r>
      <w:r w:rsidRPr="00CD4C7E">
        <w:rPr>
          <w:color w:val="000000"/>
          <w:sz w:val="20"/>
          <w:szCs w:val="20"/>
        </w:rPr>
        <w:t xml:space="preserve"> percent of the units are </w:t>
      </w:r>
      <w:r w:rsidRPr="00CD4C7E">
        <w:rPr>
          <w:color w:val="000000"/>
          <w:sz w:val="20"/>
          <w:szCs w:val="20"/>
          <w:u w:val="single"/>
        </w:rPr>
        <w:t>classified as a “vacation rental” under Section 509.242, F.S.</w:t>
      </w:r>
      <w:r w:rsidRPr="00CD4C7E">
        <w:rPr>
          <w:color w:val="000000"/>
          <w:sz w:val="20"/>
          <w:szCs w:val="20"/>
        </w:rPr>
        <w:t xml:space="preserve"> </w:t>
      </w:r>
      <w:r w:rsidRPr="00CD4C7E">
        <w:rPr>
          <w:strike/>
          <w:color w:val="000000"/>
          <w:sz w:val="20"/>
          <w:szCs w:val="20"/>
        </w:rPr>
        <w:t>used solely for overnight occupancy as defined in paragraph (8)(b) of this rule</w:t>
      </w:r>
      <w:r w:rsidRPr="00CD4C7E">
        <w:rPr>
          <w:color w:val="000000"/>
          <w:sz w:val="20"/>
          <w:szCs w:val="20"/>
        </w:rPr>
        <w:t>;</w:t>
      </w:r>
    </w:p>
    <w:p w14:paraId="62D29872"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2. through 3. No change.</w:t>
      </w:r>
    </w:p>
    <w:p w14:paraId="442F2754"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(6) Master-metered condominiums.</w:t>
      </w:r>
    </w:p>
    <w:p w14:paraId="60049A27"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 xml:space="preserve">(a) Initial Qualifications – In addition to the criteria in paragraph (5)(g), in order to initially qualify for master-metered service, the owner or developer of the condominium, the condominium association, or the customer must attest to the utility that the criteria in paragraph (5)(g) and in this subsection have been met, and that any cost of future conversion to individual metering will be the responsibility of the customer, consistent with subsection (7) of this rule. Upon request and reasonable notice by the utility, the utility shall be allowed to inspect the condominium to collect evidence needed to determine whether the condominium </w:t>
      </w:r>
      <w:r w:rsidRPr="00CD4C7E">
        <w:rPr>
          <w:color w:val="000000"/>
          <w:sz w:val="20"/>
          <w:szCs w:val="20"/>
          <w:u w:val="single"/>
        </w:rPr>
        <w:t>complies</w:t>
      </w:r>
      <w:r w:rsidRPr="00CD4C7E">
        <w:rPr>
          <w:color w:val="000000"/>
          <w:sz w:val="20"/>
          <w:szCs w:val="20"/>
        </w:rPr>
        <w:t xml:space="preserve"> </w:t>
      </w:r>
      <w:r w:rsidRPr="00CD4C7E">
        <w:rPr>
          <w:strike/>
          <w:color w:val="000000"/>
          <w:sz w:val="20"/>
          <w:szCs w:val="20"/>
        </w:rPr>
        <w:t>is in compliance</w:t>
      </w:r>
      <w:r w:rsidRPr="00CD4C7E">
        <w:rPr>
          <w:color w:val="000000"/>
          <w:sz w:val="20"/>
          <w:szCs w:val="20"/>
        </w:rPr>
        <w:t xml:space="preserve"> with this rule. If the </w:t>
      </w:r>
      <w:r w:rsidRPr="00CD4C7E">
        <w:rPr>
          <w:color w:val="000000"/>
          <w:sz w:val="20"/>
          <w:szCs w:val="20"/>
        </w:rPr>
        <w:lastRenderedPageBreak/>
        <w:t>criteria in paragraph (5)(g) and in this subsection are not met, then the utility shall not provide master-metered service to the condominium.</w:t>
      </w:r>
    </w:p>
    <w:p w14:paraId="2B9AC5CD"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(b) No change.</w:t>
      </w:r>
    </w:p>
    <w:p w14:paraId="6BA31812"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 xml:space="preserve">(c) Upon request and reasonable notice by the utility, the utility shall be allowed to inspect the condominium to collect evidence needed to determine whether the condominium </w:t>
      </w:r>
      <w:r w:rsidRPr="00CD4C7E">
        <w:rPr>
          <w:color w:val="000000"/>
          <w:sz w:val="20"/>
          <w:szCs w:val="20"/>
          <w:u w:val="single"/>
        </w:rPr>
        <w:t>complies</w:t>
      </w:r>
      <w:r w:rsidRPr="00CD4C7E">
        <w:rPr>
          <w:color w:val="000000"/>
          <w:sz w:val="20"/>
          <w:szCs w:val="20"/>
        </w:rPr>
        <w:t xml:space="preserve"> </w:t>
      </w:r>
      <w:r w:rsidRPr="00CD4C7E">
        <w:rPr>
          <w:strike/>
          <w:color w:val="000000"/>
          <w:sz w:val="20"/>
          <w:szCs w:val="20"/>
        </w:rPr>
        <w:t>is in compliance</w:t>
      </w:r>
      <w:r w:rsidRPr="00CD4C7E">
        <w:rPr>
          <w:color w:val="000000"/>
          <w:sz w:val="20"/>
          <w:szCs w:val="20"/>
        </w:rPr>
        <w:t xml:space="preserve"> with this rule.</w:t>
      </w:r>
    </w:p>
    <w:p w14:paraId="6ADF5922"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 xml:space="preserve">(d) Failure to Comply – If a condominium is master metered under the exemption in this rule and subsequently fails to meet the criteria contained in paragraph (5)(g), or the customer fails to make the annual attestation required by paragraph (6)(b), then the utility shall promptly notify the customer that the condominium is no longer eligible for master-metered service. If the customer does not respond with clear evidence to the contrary within 30 days of receiving the notice, the customer shall individually meter the condominium units within six months following the date on the notice. During this </w:t>
      </w:r>
      <w:r w:rsidRPr="00CD4C7E">
        <w:rPr>
          <w:color w:val="000000"/>
          <w:sz w:val="20"/>
          <w:szCs w:val="20"/>
          <w:u w:val="single"/>
        </w:rPr>
        <w:t>six-month</w:t>
      </w:r>
      <w:r w:rsidRPr="00CD4C7E">
        <w:rPr>
          <w:color w:val="000000"/>
          <w:sz w:val="20"/>
          <w:szCs w:val="20"/>
        </w:rPr>
        <w:t xml:space="preserve"> </w:t>
      </w:r>
      <w:r w:rsidRPr="00CD4C7E">
        <w:rPr>
          <w:strike/>
          <w:color w:val="000000"/>
          <w:sz w:val="20"/>
          <w:szCs w:val="20"/>
        </w:rPr>
        <w:t>six month</w:t>
      </w:r>
      <w:r w:rsidRPr="00CD4C7E">
        <w:rPr>
          <w:color w:val="000000"/>
          <w:sz w:val="20"/>
          <w:szCs w:val="20"/>
        </w:rPr>
        <w:t xml:space="preserve"> period, the utility shall not discontinue service based on failure to comply with this rule. Thereafter, the provisions of Rule 25-6.105, F.A.C., apply.</w:t>
      </w:r>
    </w:p>
    <w:p w14:paraId="156B4B17"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(7) No change.</w:t>
      </w:r>
    </w:p>
    <w:p w14:paraId="502C6DD2"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 xml:space="preserve">(8) For purposes of this rule </w:t>
      </w:r>
      <w:r w:rsidRPr="00CD4C7E">
        <w:rPr>
          <w:color w:val="000000"/>
          <w:sz w:val="20"/>
          <w:szCs w:val="20"/>
          <w:u w:val="single"/>
        </w:rPr>
        <w:t>permanent occupancy means habitation for more than 180 days during any consecutive 12-month period.</w:t>
      </w:r>
      <w:r w:rsidRPr="00CD4C7E">
        <w:rPr>
          <w:strike/>
          <w:color w:val="000000"/>
          <w:sz w:val="20"/>
          <w:szCs w:val="20"/>
        </w:rPr>
        <w:t>:</w:t>
      </w:r>
    </w:p>
    <w:p w14:paraId="537E0188" w14:textId="77777777" w:rsidR="00CD4C7E" w:rsidRPr="00CD4C7E" w:rsidRDefault="00CD4C7E" w:rsidP="00CD4C7E">
      <w:pPr>
        <w:tabs>
          <w:tab w:val="left" w:pos="360"/>
        </w:tabs>
        <w:spacing w:line="480" w:lineRule="auto"/>
        <w:ind w:firstLine="360"/>
        <w:jc w:val="both"/>
        <w:rPr>
          <w:sz w:val="20"/>
        </w:rPr>
      </w:pPr>
      <w:r w:rsidRPr="00CD4C7E">
        <w:rPr>
          <w:strike/>
          <w:color w:val="000000"/>
          <w:sz w:val="20"/>
          <w:szCs w:val="20"/>
        </w:rPr>
        <w:t>(a) “Occupancy unit” means that portion of any commercial establishment, single and multi-unit residential building, or trailer, mobile home or recreational vehicle park, or marina which is set apart from the rest of such facility by clearly determinable boundaries as described in the rental, lease, or ownership agreement for such unit.</w:t>
      </w:r>
    </w:p>
    <w:p w14:paraId="240D9BFE" w14:textId="77777777" w:rsidR="00CD4C7E" w:rsidRPr="00CD4C7E" w:rsidRDefault="00CD4C7E" w:rsidP="00CD4C7E">
      <w:pPr>
        <w:tabs>
          <w:tab w:val="left" w:pos="360"/>
        </w:tabs>
        <w:spacing w:line="480" w:lineRule="auto"/>
        <w:ind w:firstLine="360"/>
        <w:jc w:val="both"/>
        <w:rPr>
          <w:sz w:val="20"/>
        </w:rPr>
      </w:pPr>
      <w:r w:rsidRPr="00CD4C7E">
        <w:rPr>
          <w:strike/>
          <w:color w:val="000000"/>
          <w:sz w:val="20"/>
          <w:szCs w:val="20"/>
        </w:rPr>
        <w:t>(b) “Overnight Occupancy” means use of an occupancy unit for a short term such as per day or per week where permanent residency is not established.</w:t>
      </w:r>
    </w:p>
    <w:p w14:paraId="39263418" w14:textId="77777777" w:rsidR="00CD4C7E" w:rsidRPr="00CD4C7E" w:rsidRDefault="00CD4C7E" w:rsidP="00CD4C7E">
      <w:pPr>
        <w:tabs>
          <w:tab w:val="left" w:pos="360"/>
        </w:tabs>
        <w:spacing w:line="480" w:lineRule="auto"/>
        <w:ind w:firstLine="360"/>
        <w:jc w:val="both"/>
        <w:rPr>
          <w:sz w:val="20"/>
        </w:rPr>
      </w:pPr>
      <w:r w:rsidRPr="00CD4C7E">
        <w:rPr>
          <w:color w:val="000000"/>
          <w:sz w:val="20"/>
          <w:szCs w:val="20"/>
        </w:rPr>
        <w:t>(9) No change.</w:t>
      </w:r>
    </w:p>
    <w:p w14:paraId="2E0A4465" w14:textId="366A8026" w:rsidR="00513EC1" w:rsidRPr="00C008AF" w:rsidRDefault="00CD4C7E" w:rsidP="00C008AF">
      <w:pPr>
        <w:spacing w:line="480" w:lineRule="auto"/>
        <w:jc w:val="both"/>
        <w:rPr>
          <w:sz w:val="18"/>
          <w:szCs w:val="22"/>
        </w:rPr>
      </w:pPr>
      <w:r w:rsidRPr="00CD4C7E">
        <w:rPr>
          <w:i/>
          <w:iCs/>
          <w:color w:val="000000"/>
          <w:sz w:val="18"/>
          <w:szCs w:val="16"/>
        </w:rPr>
        <w:t>Rulemaking Authority 350.127(2), 366.05(1) FS. Law Implemented 366.05(1), 366.06(1), 366.81, 366.82 FS. History–New 7-29-69, Amended 11-26-80, 12-23-82, 12-28-83, Formerly 25-6.49, Amended 7-14-87, 10-5-88, 3-23-97, 10-10-06</w:t>
      </w:r>
      <w:r w:rsidRPr="00CD4C7E">
        <w:rPr>
          <w:i/>
          <w:iCs/>
          <w:color w:val="000000"/>
          <w:sz w:val="18"/>
          <w:szCs w:val="16"/>
          <w:u w:val="single"/>
        </w:rPr>
        <w:t xml:space="preserve">,    </w:t>
      </w:r>
      <w:r w:rsidRPr="00CD4C7E">
        <w:rPr>
          <w:i/>
          <w:iCs/>
          <w:color w:val="000000"/>
          <w:sz w:val="18"/>
          <w:szCs w:val="16"/>
        </w:rPr>
        <w:t>.</w:t>
      </w:r>
    </w:p>
    <w:sectPr w:rsidR="00513EC1" w:rsidRPr="00C008AF" w:rsidSect="00CD4C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2EC83" w14:textId="77777777" w:rsidR="00212E49" w:rsidRDefault="00212E49">
      <w:r>
        <w:separator/>
      </w:r>
    </w:p>
  </w:endnote>
  <w:endnote w:type="continuationSeparator" w:id="0">
    <w:p w14:paraId="21357C5E" w14:textId="77777777" w:rsidR="00212E49" w:rsidRDefault="00212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B4FA1" w14:textId="77777777" w:rsidR="00FA6EFD" w:rsidRDefault="00FA6EFD">
    <w:pPr>
      <w:pStyle w:val="Footer"/>
    </w:pPr>
  </w:p>
  <w:p w14:paraId="64AA834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BF037" w14:textId="77777777" w:rsidR="00212E49" w:rsidRDefault="00212E49">
      <w:r>
        <w:separator/>
      </w:r>
    </w:p>
  </w:footnote>
  <w:footnote w:type="continuationSeparator" w:id="0">
    <w:p w14:paraId="77CF977D" w14:textId="77777777" w:rsidR="00212E49" w:rsidRDefault="00212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0EFA5" w14:textId="296ED175" w:rsidR="00FA6EFD" w:rsidRDefault="00C12773">
    <w:pPr>
      <w:pStyle w:val="OrderHeader"/>
    </w:pPr>
    <w:r>
      <w:t xml:space="preserve">ORDER NO. PSC-2026-0364-FOF-OT </w:t>
    </w:r>
  </w:p>
  <w:p w14:paraId="1BF64DE8" w14:textId="33570D14" w:rsidR="00FA6EFD" w:rsidRDefault="00212E49">
    <w:pPr>
      <w:pStyle w:val="OrderHeader"/>
    </w:pPr>
    <w:bookmarkStart w:id="8" w:name="HeaderDocketNo"/>
    <w:bookmarkEnd w:id="8"/>
    <w:r>
      <w:t>DOCKET NO. 20260037-OT</w:t>
    </w:r>
  </w:p>
  <w:p w14:paraId="53178344"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8139FB5"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37-OT"/>
  </w:docVars>
  <w:rsids>
    <w:rsidRoot w:val="00212E49"/>
    <w:rsid w:val="000003EA"/>
    <w:rsid w:val="000022B8"/>
    <w:rsid w:val="00003883"/>
    <w:rsid w:val="000048E2"/>
    <w:rsid w:val="0001102B"/>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07825"/>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2E49"/>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E73F2"/>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4F83"/>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D532C"/>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B662A"/>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218B"/>
    <w:rsid w:val="00715275"/>
    <w:rsid w:val="00721B44"/>
    <w:rsid w:val="007232A2"/>
    <w:rsid w:val="00726366"/>
    <w:rsid w:val="00731AB6"/>
    <w:rsid w:val="00733B6B"/>
    <w:rsid w:val="00734DF3"/>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3E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19AE"/>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08AF"/>
    <w:rsid w:val="00C028FC"/>
    <w:rsid w:val="00C037F2"/>
    <w:rsid w:val="00C0386D"/>
    <w:rsid w:val="00C065A1"/>
    <w:rsid w:val="00C06FB1"/>
    <w:rsid w:val="00C10ED5"/>
    <w:rsid w:val="00C12574"/>
    <w:rsid w:val="00C12773"/>
    <w:rsid w:val="00C12CB3"/>
    <w:rsid w:val="00C151A6"/>
    <w:rsid w:val="00C24098"/>
    <w:rsid w:val="00C2571F"/>
    <w:rsid w:val="00C30A4E"/>
    <w:rsid w:val="00C3483B"/>
    <w:rsid w:val="00C3641C"/>
    <w:rsid w:val="00C411F3"/>
    <w:rsid w:val="00C433DE"/>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86EF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6E09"/>
    <w:rsid w:val="00CC7E68"/>
    <w:rsid w:val="00CD0F05"/>
    <w:rsid w:val="00CD15D5"/>
    <w:rsid w:val="00CD19D5"/>
    <w:rsid w:val="00CD3D74"/>
    <w:rsid w:val="00CD4C7E"/>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51A7"/>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4BA0"/>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E7326"/>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970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F794C-D7C1-47DA-AF62-2C4FC0884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832</Words>
  <Characters>4747</Characters>
  <Application>Microsoft Office Word</Application>
  <DocSecurity>0</DocSecurity>
  <Lines>39</Lines>
  <Paragraphs>11</Paragraphs>
  <ScaleCrop>false</ScaleCrop>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2026-10-19T15:56:00Z</dcterms:created>
  <dcterms:modified xsi:type="dcterms:W3CDTF">2026-10-19T16:13:00Z</dcterms:modified>
</cp:coreProperties>
</file>