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D4EB1" w14:textId="77777777" w:rsidR="00A657ED" w:rsidRDefault="00A657ED" w:rsidP="00A657ED">
      <w:pPr>
        <w:pStyle w:val="OrderHeading"/>
      </w:pPr>
      <w:r>
        <w:t>BEFORE THE FLORIDA PUBLIC SERVICE COMMISSION</w:t>
      </w:r>
    </w:p>
    <w:p w14:paraId="008938B5" w14:textId="77777777" w:rsidR="00A657ED" w:rsidRDefault="00A657ED" w:rsidP="00A657ED">
      <w:pPr>
        <w:pStyle w:val="OrderBody"/>
      </w:pPr>
    </w:p>
    <w:p w14:paraId="6319D1EF" w14:textId="77777777" w:rsidR="00A657ED" w:rsidRDefault="00A657ED" w:rsidP="00A657ED">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A657ED" w:rsidRPr="00C63FCF" w14:paraId="04757084" w14:textId="77777777" w:rsidTr="00C63FCF">
        <w:trPr>
          <w:trHeight w:val="828"/>
        </w:trPr>
        <w:tc>
          <w:tcPr>
            <w:tcW w:w="4788" w:type="dxa"/>
            <w:tcBorders>
              <w:bottom w:val="single" w:sz="8" w:space="0" w:color="auto"/>
              <w:right w:val="double" w:sz="6" w:space="0" w:color="auto"/>
            </w:tcBorders>
            <w:shd w:val="clear" w:color="auto" w:fill="auto"/>
          </w:tcPr>
          <w:p w14:paraId="7097A902" w14:textId="0007046B" w:rsidR="00A657ED" w:rsidRDefault="00A657ED" w:rsidP="00C63FCF">
            <w:pPr>
              <w:pStyle w:val="OrderBody"/>
              <w:tabs>
                <w:tab w:val="center" w:pos="4320"/>
                <w:tab w:val="right" w:pos="8640"/>
              </w:tabs>
              <w:jc w:val="left"/>
            </w:pPr>
            <w:r>
              <w:t xml:space="preserve">In re: </w:t>
            </w:r>
            <w:bookmarkStart w:id="0" w:name="SSInRe"/>
            <w:bookmarkEnd w:id="0"/>
            <w:r>
              <w:t>Request for relinquishment of eligible telecommunications carrier (ETC) designation in Florida, by Frontier Communications of the South, LLC.</w:t>
            </w:r>
          </w:p>
        </w:tc>
        <w:tc>
          <w:tcPr>
            <w:tcW w:w="4788" w:type="dxa"/>
            <w:tcBorders>
              <w:left w:val="double" w:sz="6" w:space="0" w:color="auto"/>
            </w:tcBorders>
            <w:shd w:val="clear" w:color="auto" w:fill="auto"/>
          </w:tcPr>
          <w:p w14:paraId="053B9888" w14:textId="28412D8A" w:rsidR="00A657ED" w:rsidRDefault="00A657ED" w:rsidP="00A657ED">
            <w:pPr>
              <w:pStyle w:val="OrderBody"/>
            </w:pPr>
            <w:r>
              <w:t xml:space="preserve">DOCKET NO. </w:t>
            </w:r>
            <w:bookmarkStart w:id="1" w:name="SSDocketNo"/>
            <w:bookmarkEnd w:id="1"/>
            <w:r>
              <w:t>20260113-TL</w:t>
            </w:r>
          </w:p>
          <w:p w14:paraId="5A5754F9" w14:textId="2DE9D50A" w:rsidR="00A657ED" w:rsidRDefault="00A657ED" w:rsidP="00C63FCF">
            <w:pPr>
              <w:pStyle w:val="OrderBody"/>
              <w:tabs>
                <w:tab w:val="center" w:pos="4320"/>
                <w:tab w:val="right" w:pos="8640"/>
              </w:tabs>
              <w:jc w:val="left"/>
            </w:pPr>
            <w:r>
              <w:t xml:space="preserve">ORDER NO. </w:t>
            </w:r>
            <w:bookmarkStart w:id="2" w:name="OrderNo0378"/>
            <w:r w:rsidR="00E00024">
              <w:t>PSC-2026-0378-PAA-TL</w:t>
            </w:r>
            <w:bookmarkEnd w:id="2"/>
          </w:p>
          <w:p w14:paraId="6363BDCE" w14:textId="451F6CF3" w:rsidR="00A657ED" w:rsidRDefault="00A657ED" w:rsidP="00C63FCF">
            <w:pPr>
              <w:pStyle w:val="OrderBody"/>
              <w:tabs>
                <w:tab w:val="center" w:pos="4320"/>
                <w:tab w:val="right" w:pos="8640"/>
              </w:tabs>
              <w:jc w:val="left"/>
            </w:pPr>
            <w:r>
              <w:t xml:space="preserve">ISSUED: </w:t>
            </w:r>
            <w:r w:rsidR="00E00024">
              <w:t>October 26, 2026</w:t>
            </w:r>
          </w:p>
        </w:tc>
      </w:tr>
    </w:tbl>
    <w:p w14:paraId="0AA3DD10" w14:textId="77777777" w:rsidR="00A657ED" w:rsidRDefault="00A657ED" w:rsidP="00A657ED"/>
    <w:p w14:paraId="1BDD825E" w14:textId="286A21EA" w:rsidR="00CB5276" w:rsidRDefault="00D611DF" w:rsidP="00A657ED">
      <w:r>
        <w:t xml:space="preserve"> </w:t>
      </w:r>
    </w:p>
    <w:p w14:paraId="39CBC27E" w14:textId="77777777" w:rsidR="00A657ED" w:rsidRPr="008D1D5C" w:rsidRDefault="00A657ED"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58F11E29" w14:textId="77777777" w:rsidR="00A657ED" w:rsidRPr="008D1D5C" w:rsidRDefault="00A657ED" w:rsidP="008D1D5C">
      <w:pPr>
        <w:spacing w:line="276" w:lineRule="auto"/>
        <w:jc w:val="center"/>
        <w:rPr>
          <w:rFonts w:eastAsiaTheme="minorHAnsi" w:cstheme="minorBidi"/>
          <w:szCs w:val="22"/>
        </w:rPr>
      </w:pPr>
    </w:p>
    <w:p w14:paraId="351EE230" w14:textId="3CE2FC70" w:rsidR="00A657ED" w:rsidRPr="008D1D5C" w:rsidRDefault="00A657ED"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7CD8165D" w14:textId="6AFB3C76" w:rsidR="00A657ED" w:rsidRPr="008D1D5C" w:rsidRDefault="00A657ED" w:rsidP="008D1D5C">
      <w:pPr>
        <w:spacing w:line="276" w:lineRule="auto"/>
        <w:jc w:val="center"/>
        <w:rPr>
          <w:rFonts w:eastAsiaTheme="minorHAnsi" w:cstheme="minorBidi"/>
          <w:szCs w:val="22"/>
        </w:rPr>
      </w:pPr>
      <w:r>
        <w:rPr>
          <w:rFonts w:eastAsiaTheme="minorHAnsi" w:cstheme="minorBidi"/>
          <w:szCs w:val="22"/>
        </w:rPr>
        <w:t>GARY F. CLARK</w:t>
      </w:r>
    </w:p>
    <w:p w14:paraId="08DEE034" w14:textId="434B6AA9" w:rsidR="00A657ED" w:rsidRPr="008D1D5C" w:rsidRDefault="00A657ED" w:rsidP="008D1D5C">
      <w:pPr>
        <w:spacing w:line="276" w:lineRule="auto"/>
        <w:jc w:val="center"/>
        <w:rPr>
          <w:rFonts w:eastAsiaTheme="minorHAnsi" w:cstheme="minorBidi"/>
          <w:szCs w:val="22"/>
        </w:rPr>
      </w:pPr>
      <w:r>
        <w:rPr>
          <w:rFonts w:eastAsiaTheme="minorHAnsi" w:cstheme="minorBidi"/>
          <w:szCs w:val="22"/>
        </w:rPr>
        <w:t>MIKE LA ROSA</w:t>
      </w:r>
    </w:p>
    <w:p w14:paraId="694BEC73" w14:textId="3F47AF89" w:rsidR="00A657ED" w:rsidRPr="008D1D5C" w:rsidRDefault="00A657ED" w:rsidP="008D1D5C">
      <w:pPr>
        <w:spacing w:line="276" w:lineRule="auto"/>
        <w:jc w:val="center"/>
        <w:rPr>
          <w:rFonts w:eastAsiaTheme="minorHAnsi" w:cstheme="minorBidi"/>
          <w:szCs w:val="22"/>
        </w:rPr>
      </w:pPr>
      <w:r>
        <w:rPr>
          <w:rFonts w:eastAsiaTheme="minorHAnsi" w:cstheme="minorBidi"/>
          <w:szCs w:val="22"/>
        </w:rPr>
        <w:t>BOBBY PAYNE</w:t>
      </w:r>
    </w:p>
    <w:p w14:paraId="20BAF582" w14:textId="3C25E1F4" w:rsidR="00A657ED" w:rsidRPr="008D1D5C" w:rsidRDefault="00A657ED" w:rsidP="008D1D5C">
      <w:pPr>
        <w:spacing w:line="276" w:lineRule="auto"/>
        <w:jc w:val="center"/>
        <w:rPr>
          <w:rFonts w:eastAsiaTheme="minorHAnsi" w:cstheme="minorBidi"/>
          <w:szCs w:val="22"/>
        </w:rPr>
      </w:pPr>
      <w:r>
        <w:rPr>
          <w:rFonts w:eastAsiaTheme="minorHAnsi" w:cstheme="minorBidi"/>
          <w:szCs w:val="22"/>
        </w:rPr>
        <w:t>ANA ORTEGA</w:t>
      </w:r>
    </w:p>
    <w:p w14:paraId="469AD4D0" w14:textId="77777777" w:rsidR="00A657ED" w:rsidRDefault="00A657ED" w:rsidP="00A657ED">
      <w:pPr>
        <w:pStyle w:val="OrderBody"/>
      </w:pPr>
    </w:p>
    <w:p w14:paraId="5F1FC895" w14:textId="77777777" w:rsidR="00A657ED" w:rsidRDefault="00A657ED" w:rsidP="00A657ED">
      <w:pPr>
        <w:pStyle w:val="OrderBody"/>
      </w:pPr>
    </w:p>
    <w:bookmarkStart w:id="4" w:name="OrderText"/>
    <w:bookmarkEnd w:id="4"/>
    <w:p w14:paraId="4B645420" w14:textId="1F198469" w:rsidR="00A657ED" w:rsidRPr="003E4B2D" w:rsidRDefault="00A657ED">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0DA6F2B7" w14:textId="6E63426A" w:rsidR="00A551FA" w:rsidRDefault="00A657ED">
      <w:pPr>
        <w:pStyle w:val="OrderBody"/>
        <w:jc w:val="center"/>
        <w:rPr>
          <w:u w:val="single"/>
        </w:rPr>
      </w:pPr>
      <w:r w:rsidRPr="003E4B2D">
        <w:rPr>
          <w:u w:val="single"/>
        </w:rPr>
        <w:t>ORDER</w:t>
      </w:r>
      <w:bookmarkStart w:id="5" w:name="OrderTitle"/>
      <w:r w:rsidR="00AC3A51">
        <w:rPr>
          <w:u w:val="single"/>
        </w:rPr>
        <w:t xml:space="preserve"> </w:t>
      </w:r>
      <w:r w:rsidR="00A551FA">
        <w:rPr>
          <w:u w:val="single"/>
        </w:rPr>
        <w:t xml:space="preserve">APPROVING REQUEST FOR RELINQUISHMENT OF </w:t>
      </w:r>
    </w:p>
    <w:p w14:paraId="4DE36E63" w14:textId="77777777" w:rsidR="00A551FA" w:rsidRDefault="00A551FA" w:rsidP="00A551FA">
      <w:pPr>
        <w:pStyle w:val="OrderBody"/>
        <w:jc w:val="center"/>
        <w:rPr>
          <w:u w:val="single"/>
        </w:rPr>
      </w:pPr>
      <w:r>
        <w:rPr>
          <w:u w:val="single"/>
        </w:rPr>
        <w:t>ELIGIBLE TELECOMMUNICATIONS DESIGNATION BY</w:t>
      </w:r>
    </w:p>
    <w:p w14:paraId="62FC3AFF" w14:textId="3F2D4347" w:rsidR="00A657ED" w:rsidRPr="003E4B2D" w:rsidRDefault="00A551FA" w:rsidP="00A551FA">
      <w:pPr>
        <w:pStyle w:val="OrderBody"/>
        <w:jc w:val="center"/>
        <w:rPr>
          <w:u w:val="single"/>
        </w:rPr>
      </w:pPr>
      <w:r>
        <w:rPr>
          <w:u w:val="single"/>
        </w:rPr>
        <w:t>FRONTIER COMMUNICATIONS OF THE SOUTH LLC</w:t>
      </w:r>
      <w:r w:rsidR="00A657ED">
        <w:rPr>
          <w:u w:val="single"/>
        </w:rPr>
        <w:t xml:space="preserve"> </w:t>
      </w:r>
      <w:bookmarkEnd w:id="5"/>
    </w:p>
    <w:p w14:paraId="01702DA5" w14:textId="77777777" w:rsidR="00A657ED" w:rsidRPr="003E4B2D" w:rsidRDefault="00A657ED">
      <w:pPr>
        <w:pStyle w:val="OrderBody"/>
      </w:pPr>
    </w:p>
    <w:p w14:paraId="4793C0B9" w14:textId="77777777" w:rsidR="00A657ED" w:rsidRPr="003E4B2D" w:rsidRDefault="00A657ED">
      <w:pPr>
        <w:pStyle w:val="OrderBody"/>
      </w:pPr>
    </w:p>
    <w:p w14:paraId="0A555260" w14:textId="77777777" w:rsidR="00A657ED" w:rsidRPr="003E4B2D" w:rsidRDefault="00A657ED">
      <w:pPr>
        <w:pStyle w:val="OrderBody"/>
      </w:pPr>
      <w:r w:rsidRPr="003E4B2D">
        <w:t>BY THE COMMISSION:</w:t>
      </w:r>
    </w:p>
    <w:p w14:paraId="0645F1AA" w14:textId="77777777" w:rsidR="00A657ED" w:rsidRPr="003E4B2D" w:rsidRDefault="00A657ED">
      <w:pPr>
        <w:pStyle w:val="OrderBody"/>
      </w:pPr>
    </w:p>
    <w:p w14:paraId="4454B07E" w14:textId="04B2EC55" w:rsidR="00A657ED" w:rsidRDefault="00A657ED">
      <w:pPr>
        <w:pStyle w:val="OrderBody"/>
      </w:pPr>
      <w:r w:rsidRPr="003E4B2D">
        <w:tab/>
        <w:t>NOTICE is hereby given by the Florida Public Service Commission</w:t>
      </w:r>
      <w:r w:rsidR="00A551FA">
        <w:t xml:space="preserve"> (Commission)</w:t>
      </w:r>
      <w:r w:rsidRPr="003E4B2D">
        <w:t xml:space="preserve">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567DF894" w14:textId="77777777" w:rsidR="00CB5276" w:rsidRDefault="00CB5276" w:rsidP="00A657ED"/>
    <w:p w14:paraId="4D6CCE32" w14:textId="4696E625" w:rsidR="00B73B36" w:rsidRPr="00E83595" w:rsidRDefault="00B73B36" w:rsidP="00B73B36">
      <w:pPr>
        <w:pStyle w:val="RecommendationMajorSectionHeading"/>
        <w:rPr>
          <w:rFonts w:ascii="Times New Roman" w:hAnsi="Times New Roman" w:cs="Times New Roman"/>
        </w:rPr>
      </w:pPr>
      <w:r w:rsidRPr="00E83595">
        <w:rPr>
          <w:rFonts w:ascii="Times New Roman" w:hAnsi="Times New Roman" w:cs="Times New Roman"/>
        </w:rPr>
        <w:t>Background</w:t>
      </w:r>
    </w:p>
    <w:p w14:paraId="418FF80B" w14:textId="0F8D7CB2" w:rsidR="00B73B36" w:rsidRDefault="00B73B36" w:rsidP="00A551FA">
      <w:pPr>
        <w:pStyle w:val="BodyText"/>
        <w:ind w:firstLine="720"/>
        <w:jc w:val="both"/>
      </w:pPr>
      <w:r>
        <w:t xml:space="preserve">On August 4, 2026, Frontier Communications of the South, LLC (Frontier or Company) filed a petition with </w:t>
      </w:r>
      <w:r w:rsidR="00A551FA">
        <w:t>this</w:t>
      </w:r>
      <w:r>
        <w:t xml:space="preserve"> Commission for relinquishment of its Eligible Telecommunications Carrier (ETC) designation for its service areas in Florida, effective November 1, 2026. Frontier is an incumbent local exchange carrier (ILEC) in Florida. On October 14, 1997, th</w:t>
      </w:r>
      <w:r w:rsidR="00A551FA">
        <w:t>is</w:t>
      </w:r>
      <w:r>
        <w:t xml:space="preserve"> Commission designated Frontier as an ETC in its ILEC service territory pursuant to 47 U.S.C. 214 (e)(2) and Section 364.10(2), Florida Statutes (F.S.) (1997).</w:t>
      </w:r>
      <w:r w:rsidRPr="00294724">
        <w:rPr>
          <w:rStyle w:val="FootnoteReference"/>
        </w:rPr>
        <w:t xml:space="preserve"> </w:t>
      </w:r>
      <w:r>
        <w:rPr>
          <w:rStyle w:val="FootnoteReference"/>
        </w:rPr>
        <w:footnoteReference w:id="1"/>
      </w:r>
      <w:r>
        <w:t xml:space="preserve"> An ETC designation is a requirement for telecommunications carriers to receive funding support from the federal Universal Service Fund for the Lifeline and High-Cost programs. The Lifeline </w:t>
      </w:r>
      <w:r w:rsidR="00081971">
        <w:t>program enables</w:t>
      </w:r>
      <w:r>
        <w:t xml:space="preserve"> low-income households </w:t>
      </w:r>
      <w:r>
        <w:lastRenderedPageBreak/>
        <w:t>to obtain and maintain basic telephone and broadband services by offering qualifying households a discount on monthly bills. The High-Cost program helps carriers provide voice and broadband service in remote and underserved communities.</w:t>
      </w:r>
    </w:p>
    <w:p w14:paraId="4B2B86FA" w14:textId="02F51C76" w:rsidR="00B73B36" w:rsidRDefault="00B73B36" w:rsidP="00A551FA">
      <w:pPr>
        <w:pStyle w:val="BodyText"/>
        <w:ind w:firstLine="720"/>
        <w:jc w:val="both"/>
      </w:pPr>
      <w:r w:rsidRPr="00DE74A8">
        <w:t>Frontier is relinquishing its ETC designation because the</w:t>
      </w:r>
      <w:r>
        <w:t xml:space="preserve"> </w:t>
      </w:r>
      <w:r w:rsidRPr="00DE74A8">
        <w:t xml:space="preserve">underlying purpose of the designation </w:t>
      </w:r>
      <w:r>
        <w:t xml:space="preserve">- </w:t>
      </w:r>
      <w:r w:rsidRPr="00DE74A8">
        <w:t>to enable the receipt of high-cost universal service support</w:t>
      </w:r>
      <w:r>
        <w:t xml:space="preserve"> </w:t>
      </w:r>
      <w:r w:rsidRPr="00DE74A8">
        <w:t>- no longer exists for Frontier. Frontier has not received any high-cost universal service support</w:t>
      </w:r>
      <w:r>
        <w:t xml:space="preserve"> </w:t>
      </w:r>
      <w:r w:rsidRPr="00DE74A8">
        <w:t>since December 2021, when the FCC</w:t>
      </w:r>
      <w:r w:rsidRPr="00DE74A8">
        <w:rPr>
          <w:rFonts w:hint="eastAsia"/>
        </w:rPr>
        <w:t>’</w:t>
      </w:r>
      <w:r w:rsidRPr="00DE74A8">
        <w:t>s Connect America Fund (CAF) program ended and was</w:t>
      </w:r>
      <w:r>
        <w:t xml:space="preserve"> </w:t>
      </w:r>
      <w:r w:rsidRPr="00DE74A8">
        <w:t>replaced by the Rural Digital Opportunity Fund (RDOF). In the 2020 RDOF auction, the FCC</w:t>
      </w:r>
      <w:r>
        <w:t xml:space="preserve"> </w:t>
      </w:r>
      <w:r w:rsidRPr="00DE74A8">
        <w:t>awarded all high-cost support for RDOF-eligible census blocks in Frontier</w:t>
      </w:r>
      <w:r w:rsidRPr="00DE74A8">
        <w:rPr>
          <w:rFonts w:hint="eastAsia"/>
        </w:rPr>
        <w:t>’</w:t>
      </w:r>
      <w:r w:rsidRPr="00DE74A8">
        <w:t>s service area to other providers.</w:t>
      </w:r>
    </w:p>
    <w:p w14:paraId="5FE5FB83" w14:textId="105189ED" w:rsidR="00B73B36" w:rsidRDefault="00B73B36" w:rsidP="00A551FA">
      <w:pPr>
        <w:pStyle w:val="BodyText"/>
        <w:ind w:firstLine="720"/>
        <w:jc w:val="both"/>
      </w:pPr>
      <w:r w:rsidRPr="00DE74A8">
        <w:t>Additionally, there has been a significant decline in the number of Frontier Lifeline</w:t>
      </w:r>
      <w:r>
        <w:t xml:space="preserve"> </w:t>
      </w:r>
      <w:r w:rsidRPr="00DE74A8">
        <w:t>customers. Frontier currently has only four Lifeline customers.</w:t>
      </w:r>
      <w:r>
        <w:t xml:space="preserve"> </w:t>
      </w:r>
      <w:r w:rsidRPr="00DE74A8">
        <w:t>Consistent with the national trend, the vast majority of Lifeline-supported households in Florida</w:t>
      </w:r>
      <w:r>
        <w:t xml:space="preserve"> </w:t>
      </w:r>
      <w:r w:rsidRPr="00DE74A8">
        <w:t xml:space="preserve">have chosen to obtain Lifeline service from one of the many </w:t>
      </w:r>
      <w:r>
        <w:t xml:space="preserve">mobile </w:t>
      </w:r>
      <w:r w:rsidRPr="00DE74A8">
        <w:t>wireless ETCs that have been</w:t>
      </w:r>
      <w:r>
        <w:t xml:space="preserve"> </w:t>
      </w:r>
      <w:r w:rsidRPr="00DE74A8">
        <w:t>designated by the Commission or the FCC.</w:t>
      </w:r>
      <w:r>
        <w:rPr>
          <w:rStyle w:val="FootnoteReference"/>
        </w:rPr>
        <w:footnoteReference w:id="2"/>
      </w:r>
    </w:p>
    <w:p w14:paraId="09936E92" w14:textId="5C639835" w:rsidR="00A657ED" w:rsidRDefault="00A551FA" w:rsidP="00A551FA">
      <w:pPr>
        <w:ind w:firstLine="720"/>
        <w:jc w:val="both"/>
      </w:pPr>
      <w:r>
        <w:t>We are</w:t>
      </w:r>
      <w:r w:rsidR="00B73B36" w:rsidRPr="00303FF8">
        <w:t xml:space="preserve"> vested with jurisdiction in this matter, pursuant to Section 364.10, Florida Statutes, 47 U.S.C. §214(e)(4), and 47 C.F.R. §54.205.</w:t>
      </w:r>
    </w:p>
    <w:p w14:paraId="3097B043" w14:textId="77777777" w:rsidR="00B73B36" w:rsidRDefault="00B73B36" w:rsidP="00B73B36"/>
    <w:p w14:paraId="4FDCFDA8" w14:textId="03A0A81C" w:rsidR="00B73B36" w:rsidRPr="00E83595" w:rsidRDefault="00B73B36" w:rsidP="00AA7E79">
      <w:pPr>
        <w:pStyle w:val="RecommendationMajorSectionHeading"/>
        <w:rPr>
          <w:rFonts w:ascii="Times New Roman" w:hAnsi="Times New Roman" w:cs="Times New Roman"/>
        </w:rPr>
      </w:pPr>
      <w:bookmarkStart w:id="6" w:name="DiscussionOfIssues"/>
      <w:r w:rsidRPr="00E83595">
        <w:rPr>
          <w:rFonts w:ascii="Times New Roman" w:hAnsi="Times New Roman" w:cs="Times New Roman"/>
        </w:rPr>
        <w:t>D</w:t>
      </w:r>
      <w:r w:rsidR="00AA7E79" w:rsidRPr="00E83595">
        <w:rPr>
          <w:rFonts w:ascii="Times New Roman" w:hAnsi="Times New Roman" w:cs="Times New Roman"/>
        </w:rPr>
        <w:t>ecision</w:t>
      </w:r>
    </w:p>
    <w:bookmarkEnd w:id="6"/>
    <w:p w14:paraId="205FD785" w14:textId="5EAFB7CE" w:rsidR="00B73B36" w:rsidRPr="001214F5" w:rsidRDefault="00B73B36" w:rsidP="00A551FA">
      <w:pPr>
        <w:pStyle w:val="BodyText"/>
        <w:ind w:firstLine="720"/>
        <w:jc w:val="both"/>
      </w:pPr>
      <w:r w:rsidRPr="001214F5">
        <w:t>An ETC may relinquish its ETC designation pursuant to 47 C.F.R. §54.205(a),</w:t>
      </w:r>
      <w:r>
        <w:t xml:space="preserve"> </w:t>
      </w:r>
      <w:r w:rsidRPr="001214F5">
        <w:t>which provides that:</w:t>
      </w:r>
    </w:p>
    <w:p w14:paraId="17DBC9D5" w14:textId="77777777" w:rsidR="00B73B36" w:rsidRPr="001214F5" w:rsidRDefault="00B73B36" w:rsidP="00B73B36">
      <w:pPr>
        <w:pStyle w:val="BodyText"/>
        <w:ind w:left="720"/>
        <w:jc w:val="both"/>
      </w:pPr>
      <w:r w:rsidRPr="001214F5">
        <w:t>A state commission shall permit an eligible telecommunications carrier to</w:t>
      </w:r>
      <w:r>
        <w:t xml:space="preserve"> </w:t>
      </w:r>
      <w:r w:rsidRPr="001214F5">
        <w:t>relinquish its designation as such a carrier in any area served by more than one</w:t>
      </w:r>
      <w:r>
        <w:t xml:space="preserve"> </w:t>
      </w:r>
      <w:r w:rsidRPr="001214F5">
        <w:t>eligible telecommunications carrier. An eligible telecommunications carrier that</w:t>
      </w:r>
      <w:r>
        <w:t xml:space="preserve"> </w:t>
      </w:r>
      <w:r w:rsidRPr="001214F5">
        <w:t>seeks to relinquish its eligible telecommunications carrier designation for an area</w:t>
      </w:r>
      <w:r>
        <w:t xml:space="preserve"> </w:t>
      </w:r>
      <w:r w:rsidRPr="001214F5">
        <w:t>served by more than one eligible telecommunications carrier shall give advance</w:t>
      </w:r>
      <w:r>
        <w:t xml:space="preserve"> </w:t>
      </w:r>
      <w:r w:rsidRPr="001214F5">
        <w:t>notice to the state commission of such relinquishment.</w:t>
      </w:r>
    </w:p>
    <w:p w14:paraId="65DAB2EA" w14:textId="77777777" w:rsidR="00B73B36" w:rsidRPr="001214F5" w:rsidRDefault="00B73B36" w:rsidP="00A551FA">
      <w:pPr>
        <w:pStyle w:val="BodyText"/>
        <w:jc w:val="both"/>
      </w:pPr>
      <w:r w:rsidRPr="001214F5">
        <w:t>In approving a relinquishment, state commissions must require the remaining ETCs to ensure</w:t>
      </w:r>
      <w:r>
        <w:t xml:space="preserve"> </w:t>
      </w:r>
      <w:r w:rsidRPr="001214F5">
        <w:t>that existing customers will continue to be served. 47 C.F.R. §54.205(b), provides that:</w:t>
      </w:r>
    </w:p>
    <w:p w14:paraId="120EA03D" w14:textId="77777777" w:rsidR="00B73B36" w:rsidRDefault="00B73B36" w:rsidP="00B73B36">
      <w:pPr>
        <w:pStyle w:val="BodyText"/>
        <w:ind w:left="720" w:right="720"/>
        <w:jc w:val="both"/>
      </w:pPr>
      <w:r w:rsidRPr="001214F5">
        <w:t>Prior to permitting a telecommunications carrier designated as an eligible</w:t>
      </w:r>
      <w:r>
        <w:t xml:space="preserve"> </w:t>
      </w:r>
      <w:r w:rsidRPr="001214F5">
        <w:t>telecommunications carrier to cease providing universal service in an area served</w:t>
      </w:r>
      <w:r>
        <w:t xml:space="preserve"> </w:t>
      </w:r>
      <w:r w:rsidRPr="001214F5">
        <w:t>by more than one eligible telecommunications carrier, the state commission shall</w:t>
      </w:r>
      <w:r>
        <w:t xml:space="preserve"> </w:t>
      </w:r>
      <w:r w:rsidRPr="001214F5">
        <w:t>require the remaining eligible telecommunications carrier or carriers to ensure that</w:t>
      </w:r>
      <w:r>
        <w:t xml:space="preserve"> </w:t>
      </w:r>
      <w:r w:rsidRPr="001214F5">
        <w:t>all customers served by the relinquishing carrier will continue to be served, and</w:t>
      </w:r>
      <w:r>
        <w:t xml:space="preserve"> </w:t>
      </w:r>
      <w:r w:rsidRPr="001214F5">
        <w:t>shall require sufficient notice to permit the purchase or construction of adequate</w:t>
      </w:r>
      <w:r>
        <w:t xml:space="preserve"> </w:t>
      </w:r>
      <w:r w:rsidRPr="001214F5">
        <w:t>facilities by any remaining eligible telecommunications carrier. The state</w:t>
      </w:r>
      <w:r>
        <w:t xml:space="preserve"> </w:t>
      </w:r>
      <w:r w:rsidRPr="001214F5">
        <w:t>commission shall establish a time, not to exceed one year after the state</w:t>
      </w:r>
      <w:r>
        <w:t xml:space="preserve"> </w:t>
      </w:r>
      <w:r w:rsidRPr="001214F5">
        <w:lastRenderedPageBreak/>
        <w:t>commission approves such relinquishment under this section, within which such</w:t>
      </w:r>
      <w:r>
        <w:t xml:space="preserve"> </w:t>
      </w:r>
      <w:r w:rsidRPr="001214F5">
        <w:t>purchase or construction shall be completed.</w:t>
      </w:r>
    </w:p>
    <w:p w14:paraId="562606D8" w14:textId="122A612B" w:rsidR="00B73B36" w:rsidRDefault="00B73B36" w:rsidP="00A551FA">
      <w:pPr>
        <w:pStyle w:val="BodyText"/>
        <w:ind w:firstLine="720"/>
        <w:jc w:val="both"/>
      </w:pPr>
      <w:r>
        <w:t>Frontier</w:t>
      </w:r>
      <w:r w:rsidRPr="002F7041">
        <w:t xml:space="preserve"> identified in its petition all of the designated ETCs currently serving its service</w:t>
      </w:r>
      <w:r>
        <w:t xml:space="preserve"> </w:t>
      </w:r>
      <w:r w:rsidRPr="002F7041">
        <w:t xml:space="preserve">territory. </w:t>
      </w:r>
      <w:r w:rsidR="00A551FA">
        <w:t>Our s</w:t>
      </w:r>
      <w:r w:rsidRPr="002F7041">
        <w:t xml:space="preserve">taff sent a data request to each ETC in </w:t>
      </w:r>
      <w:r>
        <w:t>Frontier</w:t>
      </w:r>
      <w:r w:rsidRPr="002F7041">
        <w:t>’s service area to</w:t>
      </w:r>
      <w:r>
        <w:t xml:space="preserve"> </w:t>
      </w:r>
      <w:r w:rsidRPr="002F7041">
        <w:t>verify the ETC designation of the company and to confirm it is providing service in the wire</w:t>
      </w:r>
      <w:r>
        <w:t xml:space="preserve"> </w:t>
      </w:r>
      <w:r w:rsidRPr="002F7041">
        <w:t xml:space="preserve">centers identified by </w:t>
      </w:r>
      <w:r>
        <w:t>Frontier</w:t>
      </w:r>
      <w:r w:rsidRPr="002F7041">
        <w:t xml:space="preserve">. </w:t>
      </w:r>
      <w:r w:rsidR="00A551FA">
        <w:t xml:space="preserve">Our staff </w:t>
      </w:r>
      <w:r w:rsidRPr="002F7041">
        <w:t>compared the responses to ensure that customers in the</w:t>
      </w:r>
      <w:r>
        <w:t xml:space="preserve"> </w:t>
      </w:r>
      <w:r w:rsidRPr="002F7041">
        <w:t xml:space="preserve">relinquished area would continue to have Lifeline service available. </w:t>
      </w:r>
      <w:r w:rsidR="00A551FA">
        <w:t xml:space="preserve">We have </w:t>
      </w:r>
      <w:r>
        <w:t xml:space="preserve">confirmed that </w:t>
      </w:r>
      <w:r w:rsidRPr="002F7041">
        <w:t xml:space="preserve">customers in </w:t>
      </w:r>
      <w:r>
        <w:t>Frontier’s service territory</w:t>
      </w:r>
      <w:r w:rsidRPr="002F7041">
        <w:t xml:space="preserve"> will continue to have</w:t>
      </w:r>
      <w:r>
        <w:t xml:space="preserve"> </w:t>
      </w:r>
      <w:r w:rsidRPr="002F7041">
        <w:t>Lifeline service available from one or more ETCs (Attachment A).</w:t>
      </w:r>
    </w:p>
    <w:p w14:paraId="4D11D133" w14:textId="2324FF46" w:rsidR="00B73B36" w:rsidRDefault="00B73B36" w:rsidP="00A551FA">
      <w:pPr>
        <w:ind w:firstLine="720"/>
        <w:jc w:val="both"/>
      </w:pPr>
      <w:r w:rsidRPr="005B64F6">
        <w:t>Frontier currently has just four</w:t>
      </w:r>
      <w:r>
        <w:t xml:space="preserve"> </w:t>
      </w:r>
      <w:r w:rsidRPr="005B64F6">
        <w:t>Lifeline customers. The small number of remaining Lifeline customers will be able to obtain</w:t>
      </w:r>
      <w:r>
        <w:t xml:space="preserve"> </w:t>
      </w:r>
      <w:r w:rsidRPr="005B64F6">
        <w:t>Lifeline service from one of the many other ETCs operating in Frontier</w:t>
      </w:r>
      <w:r w:rsidRPr="005B64F6">
        <w:rPr>
          <w:rFonts w:hint="eastAsia"/>
        </w:rPr>
        <w:t>’</w:t>
      </w:r>
      <w:r w:rsidRPr="005B64F6">
        <w:t>s service area, or they may</w:t>
      </w:r>
      <w:r>
        <w:t xml:space="preserve"> </w:t>
      </w:r>
      <w:r w:rsidRPr="005B64F6">
        <w:t>instead elect to continue obtaining service f</w:t>
      </w:r>
      <w:r>
        <w:t>r</w:t>
      </w:r>
      <w:r w:rsidRPr="005B64F6">
        <w:t>om Frontier at standard rates, terms, and conditions.</w:t>
      </w:r>
      <w:r>
        <w:t xml:space="preserve"> </w:t>
      </w:r>
      <w:r w:rsidRPr="005B64F6">
        <w:t>If a current Lifeline customer elects to continue obtaining service from Frontier</w:t>
      </w:r>
      <w:r>
        <w:t>,</w:t>
      </w:r>
      <w:r w:rsidRPr="005B64F6">
        <w:t xml:space="preserve"> Frontier will</w:t>
      </w:r>
      <w:r>
        <w:t xml:space="preserve"> </w:t>
      </w:r>
      <w:r w:rsidRPr="005B64F6">
        <w:t>remove the Lifeline discount as of the relinquishment effective date.</w:t>
      </w:r>
    </w:p>
    <w:p w14:paraId="0C64BE51" w14:textId="77777777" w:rsidR="00B73B36" w:rsidRDefault="00B73B36" w:rsidP="00B73B36">
      <w:pPr>
        <w:jc w:val="both"/>
      </w:pPr>
    </w:p>
    <w:p w14:paraId="7F3BC864" w14:textId="0F065CF8" w:rsidR="00B73B36" w:rsidRDefault="00B73B36" w:rsidP="00A551FA">
      <w:pPr>
        <w:ind w:firstLine="720"/>
        <w:jc w:val="both"/>
      </w:pPr>
      <w:r w:rsidRPr="005B64F6">
        <w:t>After th</w:t>
      </w:r>
      <w:r w:rsidR="00D56611">
        <w:t>is</w:t>
      </w:r>
      <w:r w:rsidRPr="005B64F6">
        <w:t xml:space="preserve"> Commission issues an </w:t>
      </w:r>
      <w:r w:rsidR="00D56611">
        <w:t>O</w:t>
      </w:r>
      <w:r w:rsidRPr="005B64F6">
        <w:t>rder confirming relinquishment</w:t>
      </w:r>
      <w:r>
        <w:t>,</w:t>
      </w:r>
      <w:r w:rsidRPr="005B64F6">
        <w:t xml:space="preserve"> Frontier </w:t>
      </w:r>
      <w:r w:rsidR="00D56611">
        <w:t>shall</w:t>
      </w:r>
      <w:r>
        <w:t xml:space="preserve"> </w:t>
      </w:r>
      <w:r w:rsidRPr="005B64F6">
        <w:t>notify its remaining Lifeline customers that they must select another ETC in order to continue</w:t>
      </w:r>
      <w:r>
        <w:t xml:space="preserve"> </w:t>
      </w:r>
      <w:r w:rsidRPr="005B64F6">
        <w:t xml:space="preserve">receiving a Lifeline discount after the relinquishment effective date. Frontier </w:t>
      </w:r>
      <w:r w:rsidR="00D56611">
        <w:t>shall</w:t>
      </w:r>
      <w:r w:rsidRPr="005B64F6">
        <w:t xml:space="preserve"> use the same</w:t>
      </w:r>
      <w:r>
        <w:t xml:space="preserve"> </w:t>
      </w:r>
      <w:r w:rsidRPr="005B64F6">
        <w:t>notice timeline that the Commission approved in the 2017 and 2021 AT&amp;T Florida relinquishment</w:t>
      </w:r>
      <w:r>
        <w:t xml:space="preserve"> </w:t>
      </w:r>
      <w:r w:rsidRPr="005B64F6">
        <w:t xml:space="preserve">orders. Specifically, at least 60 days prior to the relinquishment date, Frontier </w:t>
      </w:r>
      <w:r w:rsidR="00D56611">
        <w:t>shall</w:t>
      </w:r>
      <w:r w:rsidRPr="005B64F6">
        <w:t xml:space="preserve"> notify any</w:t>
      </w:r>
      <w:r>
        <w:t xml:space="preserve"> </w:t>
      </w:r>
      <w:r w:rsidRPr="005B64F6">
        <w:t>remaining Lifeline customers by mail that (1) Frontier will no longer offer the federal Lifeline</w:t>
      </w:r>
      <w:r>
        <w:t xml:space="preserve"> </w:t>
      </w:r>
      <w:r w:rsidRPr="005B64F6">
        <w:t xml:space="preserve">discount; and (2) if the customer does not choose another provider, Frontier </w:t>
      </w:r>
      <w:r w:rsidR="00D56611">
        <w:t>shall</w:t>
      </w:r>
      <w:r w:rsidRPr="005B64F6">
        <w:t xml:space="preserve"> continue to</w:t>
      </w:r>
      <w:r>
        <w:t xml:space="preserve"> </w:t>
      </w:r>
      <w:r w:rsidRPr="005B64F6">
        <w:t>provide service at Frontier</w:t>
      </w:r>
      <w:r w:rsidRPr="005B64F6">
        <w:rPr>
          <w:rFonts w:hint="eastAsia"/>
        </w:rPr>
        <w:t>’</w:t>
      </w:r>
      <w:r w:rsidRPr="005B64F6">
        <w:t>s standard prices (including applicable surcharges, fees and taxes) after</w:t>
      </w:r>
      <w:r>
        <w:t xml:space="preserve"> </w:t>
      </w:r>
      <w:r w:rsidRPr="005B64F6">
        <w:t xml:space="preserve">the effective date of the relinquishment. Frontier </w:t>
      </w:r>
      <w:r w:rsidR="00D56611">
        <w:t>shall</w:t>
      </w:r>
      <w:r w:rsidRPr="005B64F6">
        <w:t xml:space="preserve"> also send each remaining affected Lifeline</w:t>
      </w:r>
      <w:r>
        <w:t xml:space="preserve"> </w:t>
      </w:r>
      <w:r w:rsidRPr="005B64F6">
        <w:t xml:space="preserve">customer a second notice letter at least 15 days prior to the relinquishment date. All notices </w:t>
      </w:r>
      <w:r w:rsidR="00D56611">
        <w:t>shall</w:t>
      </w:r>
      <w:r>
        <w:t xml:space="preserve"> </w:t>
      </w:r>
      <w:r w:rsidRPr="005B64F6">
        <w:t>explain that Lifeline customers can obtain a list of other ETCs from the Universal Service</w:t>
      </w:r>
      <w:r>
        <w:t xml:space="preserve"> </w:t>
      </w:r>
      <w:r w:rsidRPr="005B64F6">
        <w:t>Administrative Company (USAC), and that they may contact those other ETCs to discuss available</w:t>
      </w:r>
      <w:r>
        <w:t xml:space="preserve"> </w:t>
      </w:r>
      <w:r w:rsidRPr="005B64F6">
        <w:t>Lifeline benefits.</w:t>
      </w:r>
      <w:r>
        <w:t xml:space="preserve"> Accordingly, </w:t>
      </w:r>
      <w:r w:rsidR="00D56611">
        <w:t>we hereby</w:t>
      </w:r>
      <w:r>
        <w:t xml:space="preserve"> approve Frontier’s petition for relinquishment of its ETC designation.</w:t>
      </w:r>
    </w:p>
    <w:p w14:paraId="179E8EE6" w14:textId="77777777" w:rsidR="00B73B36" w:rsidRDefault="00B73B36" w:rsidP="00B73B36"/>
    <w:p w14:paraId="076EDDD4" w14:textId="77777777" w:rsidR="00A657ED" w:rsidRPr="00692EBC" w:rsidRDefault="00A657ED" w:rsidP="00A657ED">
      <w:r w:rsidRPr="00692EBC">
        <w:tab/>
        <w:t>Based on the foregoing, it is</w:t>
      </w:r>
    </w:p>
    <w:p w14:paraId="4340BA73" w14:textId="77777777" w:rsidR="00A657ED" w:rsidRPr="00692EBC" w:rsidRDefault="00A657ED" w:rsidP="00A657ED"/>
    <w:p w14:paraId="253D9C9B" w14:textId="7CECA24F" w:rsidR="00A657ED" w:rsidRDefault="00A657ED" w:rsidP="00D56611">
      <w:pPr>
        <w:jc w:val="both"/>
      </w:pPr>
      <w:r w:rsidRPr="00692EBC">
        <w:tab/>
        <w:t xml:space="preserve">ORDERED by the Florida Public Service Commission that </w:t>
      </w:r>
      <w:r w:rsidR="00D56611">
        <w:t>Frontier Communications of the South LLC’s Petition for Relinquishment of Eligible Telecommunications Carrier designation in Florida is hereby approved. It is further</w:t>
      </w:r>
    </w:p>
    <w:p w14:paraId="4802BAD3" w14:textId="77777777" w:rsidR="00D56611" w:rsidRDefault="00D56611" w:rsidP="00A657ED"/>
    <w:p w14:paraId="65FDC76B" w14:textId="7859D103" w:rsidR="00D56611" w:rsidRPr="00692EBC" w:rsidRDefault="00D56611" w:rsidP="00D56611">
      <w:pPr>
        <w:jc w:val="both"/>
      </w:pPr>
      <w:r>
        <w:tab/>
        <w:t>ORDERED that the provisions of this Order, issued as proposed agency action, shall become final and effective upon the issuance of a Consummating Order unless an appropriate petition, in the form provided by Rule 28-106.201, Florida Administrative Code, is received by the Commission Clerk, 2540 Shumard Oak Boulevard, Tallahassee, Florida 32399-0850, by the close of business on the date set forth in the “Notice of Further Proceedings” attached hereto. It is further</w:t>
      </w:r>
    </w:p>
    <w:p w14:paraId="47AD9D15" w14:textId="77777777" w:rsidR="00A657ED" w:rsidRDefault="00A657ED" w:rsidP="00A657ED"/>
    <w:p w14:paraId="5BF45286" w14:textId="311F0831" w:rsidR="00D56611" w:rsidRDefault="00D56611" w:rsidP="00D56611">
      <w:pPr>
        <w:ind w:firstLine="720"/>
      </w:pPr>
      <w:r>
        <w:lastRenderedPageBreak/>
        <w:t xml:space="preserve">ORDERED that if no person whose substantial </w:t>
      </w:r>
      <w:r w:rsidRPr="00BA2C54">
        <w:t>interests are affected by the proposed agency action files a protest within 21 days of the issuance of t</w:t>
      </w:r>
      <w:r>
        <w:t>his</w:t>
      </w:r>
      <w:r w:rsidRPr="00BA2C54">
        <w:t xml:space="preserve"> </w:t>
      </w:r>
      <w:r>
        <w:t>O</w:t>
      </w:r>
      <w:r w:rsidRPr="00BA2C54">
        <w:t>rder, this docket sh</w:t>
      </w:r>
      <w:r>
        <w:t>all</w:t>
      </w:r>
      <w:r w:rsidRPr="00BA2C54">
        <w:t xml:space="preserve"> be closed upon the issuance of a </w:t>
      </w:r>
      <w:r>
        <w:t>C</w:t>
      </w:r>
      <w:r w:rsidRPr="00BA2C54">
        <w:t xml:space="preserve">onsummating </w:t>
      </w:r>
      <w:r>
        <w:t>O</w:t>
      </w:r>
      <w:r w:rsidRPr="00BA2C54">
        <w:t>rder.</w:t>
      </w:r>
    </w:p>
    <w:p w14:paraId="6A700000" w14:textId="77777777" w:rsidR="00A657ED" w:rsidRDefault="00A657ED" w:rsidP="00A657ED"/>
    <w:p w14:paraId="00128ED8" w14:textId="6ACA19D3" w:rsidR="00A657ED" w:rsidRDefault="00A657ED" w:rsidP="00A657ED">
      <w:pPr>
        <w:pStyle w:val="OrderBody"/>
        <w:keepNext/>
        <w:keepLines/>
      </w:pPr>
      <w:r>
        <w:tab/>
        <w:t xml:space="preserve">By ORDER of the Florida Public Service Commission this </w:t>
      </w:r>
      <w:bookmarkStart w:id="7" w:name="replaceDate"/>
      <w:bookmarkEnd w:id="7"/>
      <w:r w:rsidR="00E00024">
        <w:rPr>
          <w:u w:val="single"/>
        </w:rPr>
        <w:t>26th</w:t>
      </w:r>
      <w:r w:rsidR="00E00024">
        <w:t xml:space="preserve"> day of </w:t>
      </w:r>
      <w:r w:rsidR="00E00024">
        <w:rPr>
          <w:u w:val="single"/>
        </w:rPr>
        <w:t>October</w:t>
      </w:r>
      <w:r w:rsidR="00E00024">
        <w:t xml:space="preserve">, </w:t>
      </w:r>
      <w:r w:rsidR="00E00024">
        <w:rPr>
          <w:u w:val="single"/>
        </w:rPr>
        <w:t>2026</w:t>
      </w:r>
      <w:r w:rsidR="00E00024">
        <w:t>.</w:t>
      </w:r>
    </w:p>
    <w:p w14:paraId="4ADA8E42" w14:textId="77777777" w:rsidR="00E00024" w:rsidRPr="00E00024" w:rsidRDefault="00E00024" w:rsidP="00A657ED">
      <w:pPr>
        <w:pStyle w:val="OrderBody"/>
        <w:keepNext/>
        <w:keepLines/>
      </w:pPr>
    </w:p>
    <w:p w14:paraId="5C69F883" w14:textId="77777777" w:rsidR="00A657ED" w:rsidRDefault="00A657ED" w:rsidP="00A657ED">
      <w:pPr>
        <w:pStyle w:val="OrderBody"/>
        <w:keepNext/>
        <w:keepLines/>
      </w:pPr>
    </w:p>
    <w:p w14:paraId="1CB6C648" w14:textId="77777777" w:rsidR="00A657ED" w:rsidRDefault="00A657ED" w:rsidP="00A657ED">
      <w:pPr>
        <w:pStyle w:val="OrderBody"/>
        <w:keepNext/>
        <w:keepLines/>
      </w:pPr>
    </w:p>
    <w:p w14:paraId="2549D342" w14:textId="77777777" w:rsidR="00A657ED" w:rsidRDefault="00A657ED" w:rsidP="00A657ED">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A657ED" w14:paraId="6420F029" w14:textId="77777777" w:rsidTr="00A657ED">
        <w:tc>
          <w:tcPr>
            <w:tcW w:w="720" w:type="dxa"/>
            <w:shd w:val="clear" w:color="auto" w:fill="auto"/>
          </w:tcPr>
          <w:p w14:paraId="24A71F22" w14:textId="77777777" w:rsidR="00A657ED" w:rsidRDefault="00A657ED" w:rsidP="00A657ED">
            <w:pPr>
              <w:pStyle w:val="OrderBody"/>
              <w:keepNext/>
              <w:keepLines/>
            </w:pPr>
            <w:bookmarkStart w:id="8" w:name="bkmrkSignature" w:colFirst="0" w:colLast="0"/>
          </w:p>
        </w:tc>
        <w:tc>
          <w:tcPr>
            <w:tcW w:w="4320" w:type="dxa"/>
            <w:tcBorders>
              <w:bottom w:val="single" w:sz="4" w:space="0" w:color="auto"/>
            </w:tcBorders>
            <w:shd w:val="clear" w:color="auto" w:fill="auto"/>
          </w:tcPr>
          <w:p w14:paraId="3A6231E5" w14:textId="30F97288" w:rsidR="00A657ED" w:rsidRDefault="006F409E" w:rsidP="00A657ED">
            <w:pPr>
              <w:pStyle w:val="OrderBody"/>
              <w:keepNext/>
              <w:keepLines/>
            </w:pPr>
            <w:r>
              <w:t>/s/ Adam J. Teitzman</w:t>
            </w:r>
          </w:p>
        </w:tc>
      </w:tr>
      <w:bookmarkEnd w:id="8"/>
      <w:tr w:rsidR="00A657ED" w14:paraId="00E36E78" w14:textId="77777777" w:rsidTr="00A657ED">
        <w:tc>
          <w:tcPr>
            <w:tcW w:w="720" w:type="dxa"/>
            <w:shd w:val="clear" w:color="auto" w:fill="auto"/>
          </w:tcPr>
          <w:p w14:paraId="5EAA4A28" w14:textId="77777777" w:rsidR="00A657ED" w:rsidRDefault="00A657ED" w:rsidP="00A657ED">
            <w:pPr>
              <w:pStyle w:val="OrderBody"/>
              <w:keepNext/>
              <w:keepLines/>
            </w:pPr>
          </w:p>
        </w:tc>
        <w:tc>
          <w:tcPr>
            <w:tcW w:w="4320" w:type="dxa"/>
            <w:tcBorders>
              <w:top w:val="single" w:sz="4" w:space="0" w:color="auto"/>
            </w:tcBorders>
            <w:shd w:val="clear" w:color="auto" w:fill="auto"/>
          </w:tcPr>
          <w:p w14:paraId="3186033D" w14:textId="77777777" w:rsidR="00A657ED" w:rsidRDefault="00A657ED" w:rsidP="00A657ED">
            <w:pPr>
              <w:pStyle w:val="OrderBody"/>
              <w:keepNext/>
              <w:keepLines/>
            </w:pPr>
            <w:r>
              <w:t>ADAM TEITZMAN</w:t>
            </w:r>
          </w:p>
          <w:p w14:paraId="45EBC4A3" w14:textId="7D36FC4F" w:rsidR="00A657ED" w:rsidRDefault="00A657ED" w:rsidP="00A657ED">
            <w:pPr>
              <w:pStyle w:val="OrderBody"/>
              <w:keepNext/>
              <w:keepLines/>
            </w:pPr>
            <w:r>
              <w:t>Commission Clerk</w:t>
            </w:r>
          </w:p>
        </w:tc>
      </w:tr>
    </w:tbl>
    <w:p w14:paraId="22E41955" w14:textId="77777777" w:rsidR="00A657ED" w:rsidRDefault="00A657ED" w:rsidP="00A657ED">
      <w:pPr>
        <w:pStyle w:val="OrderSigInfo"/>
        <w:keepNext/>
        <w:keepLines/>
      </w:pPr>
      <w:r>
        <w:t>Florida Public Service Commission</w:t>
      </w:r>
    </w:p>
    <w:p w14:paraId="2F45060C" w14:textId="77777777" w:rsidR="00A657ED" w:rsidRDefault="00A657ED" w:rsidP="00A657ED">
      <w:pPr>
        <w:pStyle w:val="OrderSigInfo"/>
        <w:keepNext/>
        <w:keepLines/>
      </w:pPr>
      <w:r>
        <w:t>2540 Shumard Oak Boulevard</w:t>
      </w:r>
    </w:p>
    <w:p w14:paraId="26C4B00F" w14:textId="77777777" w:rsidR="00A657ED" w:rsidRDefault="00A657ED" w:rsidP="00A657ED">
      <w:pPr>
        <w:pStyle w:val="OrderSigInfo"/>
        <w:keepNext/>
        <w:keepLines/>
      </w:pPr>
      <w:r>
        <w:t>Tallahassee, Florida 32399</w:t>
      </w:r>
    </w:p>
    <w:p w14:paraId="1EBA4655" w14:textId="77777777" w:rsidR="00A657ED" w:rsidRDefault="00A657ED" w:rsidP="00A657ED">
      <w:pPr>
        <w:pStyle w:val="OrderSigInfo"/>
        <w:keepNext/>
        <w:keepLines/>
      </w:pPr>
      <w:r>
        <w:t>(850) 413</w:t>
      </w:r>
      <w:r>
        <w:noBreakHyphen/>
        <w:t>6770</w:t>
      </w:r>
    </w:p>
    <w:p w14:paraId="1ABEB109" w14:textId="77777777" w:rsidR="00A657ED" w:rsidRDefault="00A657ED" w:rsidP="00A657ED">
      <w:pPr>
        <w:pStyle w:val="OrderSigInfo"/>
        <w:keepNext/>
        <w:keepLines/>
      </w:pPr>
      <w:r>
        <w:t>www.floridapsc.com</w:t>
      </w:r>
    </w:p>
    <w:p w14:paraId="5C100A74" w14:textId="77777777" w:rsidR="00A657ED" w:rsidRDefault="00A657ED" w:rsidP="00A657ED">
      <w:pPr>
        <w:pStyle w:val="OrderSigInfo"/>
        <w:keepNext/>
        <w:keepLines/>
      </w:pPr>
    </w:p>
    <w:p w14:paraId="7676D23B" w14:textId="77777777" w:rsidR="00A657ED" w:rsidRDefault="00A657ED" w:rsidP="00A657ED">
      <w:pPr>
        <w:pStyle w:val="OrderSigInfo"/>
        <w:keepNext/>
        <w:keepLines/>
      </w:pPr>
      <w:r>
        <w:t>Copies furnished:  A copy of this document is provided to the parties of record at the time of issuance and, if applicable, interested persons.</w:t>
      </w:r>
    </w:p>
    <w:p w14:paraId="0BF3BF04" w14:textId="0B988D71" w:rsidR="00A657ED" w:rsidRDefault="00A657ED" w:rsidP="00A657ED">
      <w:pPr>
        <w:pStyle w:val="OrderBody"/>
        <w:keepNext/>
        <w:keepLines/>
      </w:pPr>
    </w:p>
    <w:p w14:paraId="4123DE73" w14:textId="77777777" w:rsidR="00A657ED" w:rsidRDefault="00A657ED" w:rsidP="00A657ED">
      <w:pPr>
        <w:pStyle w:val="OrderBody"/>
        <w:keepNext/>
        <w:keepLines/>
      </w:pPr>
    </w:p>
    <w:p w14:paraId="2F000568" w14:textId="446E8CFE" w:rsidR="00A657ED" w:rsidRDefault="00A657ED" w:rsidP="00A657ED">
      <w:pPr>
        <w:pStyle w:val="OrderBody"/>
        <w:keepNext/>
        <w:keepLines/>
      </w:pPr>
      <w:r>
        <w:t>AH</w:t>
      </w:r>
    </w:p>
    <w:p w14:paraId="51745345" w14:textId="77777777" w:rsidR="00A657ED" w:rsidRDefault="00A657ED" w:rsidP="00A657ED">
      <w:pPr>
        <w:pStyle w:val="OrderBody"/>
      </w:pPr>
    </w:p>
    <w:p w14:paraId="291E3103" w14:textId="77777777" w:rsidR="00A657ED" w:rsidRDefault="00A657ED" w:rsidP="00A657ED">
      <w:pPr>
        <w:pStyle w:val="OrderBody"/>
      </w:pPr>
    </w:p>
    <w:p w14:paraId="070F7517" w14:textId="77777777" w:rsidR="00A657ED" w:rsidRDefault="00A657ED" w:rsidP="00A657ED">
      <w:pPr>
        <w:pStyle w:val="OrderBody"/>
      </w:pPr>
    </w:p>
    <w:p w14:paraId="062E3EEE" w14:textId="57239BD4" w:rsidR="00A657ED" w:rsidRDefault="00A657ED">
      <w:r>
        <w:br w:type="page"/>
      </w:r>
    </w:p>
    <w:p w14:paraId="52C7290A" w14:textId="77777777" w:rsidR="00A657ED" w:rsidRDefault="00A657ED" w:rsidP="00A657ED">
      <w:pPr>
        <w:pStyle w:val="CenterUnderline"/>
      </w:pPr>
      <w:r>
        <w:lastRenderedPageBreak/>
        <w:t>NOTICE OF FURTHER PROCEEDINGS OR JUDICIAL REVIEW</w:t>
      </w:r>
    </w:p>
    <w:p w14:paraId="0C1DEDB5" w14:textId="7334FC7C" w:rsidR="00A657ED" w:rsidRDefault="00A657ED" w:rsidP="00A657ED">
      <w:pPr>
        <w:pStyle w:val="CenterUnderline"/>
      </w:pPr>
    </w:p>
    <w:p w14:paraId="05CCC2E6" w14:textId="42D685C0" w:rsidR="00A657ED" w:rsidRDefault="00A657ED" w:rsidP="00A657ED">
      <w:pPr>
        <w:pStyle w:val="OrderBody"/>
      </w:pPr>
      <w:r>
        <w:tab/>
        <w:t>The Florida Public Service Commission is required by Section 120.569(1), Florida Statutes, to notify parties of any administrative hearing that is available under Section 120.57</w:t>
      </w:r>
      <w:r w:rsidR="00D56611">
        <w:t xml:space="preserve"> or 120.68</w:t>
      </w:r>
      <w:r>
        <w:t xml:space="preserve">, Florida Statutes, as well as the procedures and time limits that apply.  This notice should not be construed to mean all requests for an administrative hearing </w:t>
      </w:r>
      <w:r w:rsidR="00D56611">
        <w:t xml:space="preserve">or judicial review </w:t>
      </w:r>
      <w:r>
        <w:t>will be granted or result in the relief sought.</w:t>
      </w:r>
    </w:p>
    <w:p w14:paraId="70FBA7CF" w14:textId="77777777" w:rsidR="00A657ED" w:rsidRDefault="00A657ED" w:rsidP="00A657ED">
      <w:pPr>
        <w:pStyle w:val="OrderBody"/>
      </w:pPr>
    </w:p>
    <w:p w14:paraId="1C7F882B" w14:textId="77777777" w:rsidR="00A657ED" w:rsidRDefault="00A657ED" w:rsidP="00A657ED">
      <w:pPr>
        <w:pStyle w:val="OrderBody"/>
      </w:pPr>
      <w:r>
        <w:tab/>
        <w:t>Mediation may be available on a case-by-case basis.  If mediation is conducted, it does not affect a substantially interested person's right to a hearing.</w:t>
      </w:r>
    </w:p>
    <w:p w14:paraId="4B5CCF1B" w14:textId="77777777" w:rsidR="00A657ED" w:rsidRDefault="00A657ED" w:rsidP="00A657ED">
      <w:pPr>
        <w:pStyle w:val="OrderBody"/>
      </w:pPr>
    </w:p>
    <w:p w14:paraId="64F696DA" w14:textId="011D8B51" w:rsidR="00A657ED" w:rsidRDefault="00A657ED" w:rsidP="00A657ED">
      <w:pPr>
        <w:pStyle w:val="OrderBody"/>
      </w:pPr>
      <w:r>
        <w:tab/>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E00024">
        <w:rPr>
          <w:u w:val="single"/>
        </w:rPr>
        <w:t>November 16, 2026</w:t>
      </w:r>
      <w:r>
        <w:t>.</w:t>
      </w:r>
    </w:p>
    <w:p w14:paraId="7CF0B0EC" w14:textId="77777777" w:rsidR="00A657ED" w:rsidRDefault="00A657ED" w:rsidP="00A657ED">
      <w:pPr>
        <w:pStyle w:val="OrderBody"/>
      </w:pPr>
    </w:p>
    <w:p w14:paraId="46100FA0" w14:textId="77777777" w:rsidR="00A657ED" w:rsidRDefault="00A657ED" w:rsidP="00A657ED">
      <w:pPr>
        <w:pStyle w:val="OrderBody"/>
      </w:pPr>
      <w:r>
        <w:tab/>
        <w:t>In the absence of such a petition, this order shall become final and effective upon the issuance of a Consummating Order.</w:t>
      </w:r>
    </w:p>
    <w:p w14:paraId="7CAA6DE0" w14:textId="77777777" w:rsidR="00A657ED" w:rsidRDefault="00A657ED" w:rsidP="00A657ED">
      <w:pPr>
        <w:pStyle w:val="OrderBody"/>
      </w:pPr>
    </w:p>
    <w:p w14:paraId="6A1615F2" w14:textId="77777777" w:rsidR="00A657ED" w:rsidRDefault="00A657ED" w:rsidP="00A657ED">
      <w:pPr>
        <w:pStyle w:val="OrderBody"/>
      </w:pPr>
      <w:r>
        <w:tab/>
        <w:t>Any objection or protest filed in this/these docket(s) before the issuance date of this order is considered abandoned unless it satisfies the foregoing conditions and is renewed within the specified protest period.</w:t>
      </w:r>
    </w:p>
    <w:p w14:paraId="0AF89A59" w14:textId="77777777" w:rsidR="00A657ED" w:rsidRDefault="00A657ED" w:rsidP="00A657ED">
      <w:pPr>
        <w:pStyle w:val="OrderBody"/>
      </w:pPr>
    </w:p>
    <w:p w14:paraId="3317CCA0" w14:textId="6C54C438" w:rsidR="00A657ED" w:rsidRDefault="00A657ED" w:rsidP="00A657ED">
      <w:pPr>
        <w:pStyle w:val="OrderBody"/>
      </w:pPr>
    </w:p>
    <w:p w14:paraId="1872D1B1" w14:textId="77777777" w:rsidR="00B73B36" w:rsidRDefault="00B73B36" w:rsidP="00A657ED">
      <w:pPr>
        <w:pStyle w:val="OrderBody"/>
        <w:sectPr w:rsidR="00B73B36">
          <w:headerReference w:type="default" r:id="rId7"/>
          <w:footerReference w:type="first" r:id="rId8"/>
          <w:pgSz w:w="12240" w:h="15840" w:code="1"/>
          <w:pgMar w:top="1440" w:right="1440" w:bottom="1440" w:left="1440" w:header="720" w:footer="720" w:gutter="0"/>
          <w:cols w:space="720"/>
          <w:titlePg/>
          <w:docGrid w:linePitch="360"/>
        </w:sectPr>
      </w:pPr>
    </w:p>
    <w:p w14:paraId="79357FC7" w14:textId="77777777" w:rsidR="00B73B36" w:rsidRDefault="00B73B36" w:rsidP="00A657ED">
      <w:pPr>
        <w:pStyle w:val="OrderBody"/>
      </w:pPr>
    </w:p>
    <w:p w14:paraId="73CD2759" w14:textId="77777777" w:rsidR="00B73B36" w:rsidRDefault="00B73B36" w:rsidP="00A657ED">
      <w:pPr>
        <w:pStyle w:val="OrderBody"/>
      </w:pPr>
    </w:p>
    <w:p w14:paraId="5EB47C0A" w14:textId="33AFA156" w:rsidR="00A657ED" w:rsidRPr="00A657ED" w:rsidRDefault="00B73B36" w:rsidP="00A657ED">
      <w:pPr>
        <w:pStyle w:val="OrderBody"/>
      </w:pPr>
      <w:r w:rsidRPr="00B73B36">
        <w:rPr>
          <w:noProof/>
        </w:rPr>
        <w:drawing>
          <wp:inline distT="0" distB="0" distL="0" distR="0" wp14:anchorId="739D4ED4" wp14:editId="4F0294B8">
            <wp:extent cx="5943600" cy="2301240"/>
            <wp:effectExtent l="0" t="0" r="0" b="3810"/>
            <wp:docPr id="591249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49615" name=""/>
                    <pic:cNvPicPr/>
                  </pic:nvPicPr>
                  <pic:blipFill>
                    <a:blip r:embed="rId9"/>
                    <a:stretch>
                      <a:fillRect/>
                    </a:stretch>
                  </pic:blipFill>
                  <pic:spPr>
                    <a:xfrm>
                      <a:off x="0" y="0"/>
                      <a:ext cx="5943600" cy="2301240"/>
                    </a:xfrm>
                    <a:prstGeom prst="rect">
                      <a:avLst/>
                    </a:prstGeom>
                  </pic:spPr>
                </pic:pic>
              </a:graphicData>
            </a:graphic>
          </wp:inline>
        </w:drawing>
      </w:r>
    </w:p>
    <w:sectPr w:rsidR="00A657ED" w:rsidRPr="00A657ED">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C5FF8" w14:textId="77777777" w:rsidR="00A657ED" w:rsidRDefault="00A657ED">
      <w:r>
        <w:separator/>
      </w:r>
    </w:p>
  </w:endnote>
  <w:endnote w:type="continuationSeparator" w:id="0">
    <w:p w14:paraId="2205F651" w14:textId="77777777" w:rsidR="00A657ED" w:rsidRDefault="00A65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5E3D5" w14:textId="77777777" w:rsidR="00FA6EFD" w:rsidRDefault="00FA6EFD">
    <w:pPr>
      <w:pStyle w:val="Footer"/>
    </w:pPr>
  </w:p>
  <w:p w14:paraId="13E22E22"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E1A79" w14:textId="77777777" w:rsidR="00A657ED" w:rsidRDefault="00A657ED">
      <w:r>
        <w:separator/>
      </w:r>
    </w:p>
  </w:footnote>
  <w:footnote w:type="continuationSeparator" w:id="0">
    <w:p w14:paraId="7513AF25" w14:textId="77777777" w:rsidR="00A657ED" w:rsidRDefault="00A657ED">
      <w:r>
        <w:continuationSeparator/>
      </w:r>
    </w:p>
  </w:footnote>
  <w:footnote w:id="1">
    <w:p w14:paraId="4A5787C1" w14:textId="77777777" w:rsidR="00B73B36" w:rsidRPr="00536F37" w:rsidRDefault="00B73B36" w:rsidP="00B73B36">
      <w:pPr>
        <w:pStyle w:val="FootnoteText"/>
      </w:pPr>
      <w:r>
        <w:rPr>
          <w:rStyle w:val="FootnoteReference"/>
        </w:rPr>
        <w:footnoteRef/>
      </w:r>
      <w:r>
        <w:t xml:space="preserve"> Order No. PSC-97-1262-FOF-TP issued October 14, 1997, in Docket No. 970644-TP, </w:t>
      </w:r>
      <w:r w:rsidRPr="007700D8">
        <w:rPr>
          <w:i/>
        </w:rPr>
        <w:t xml:space="preserve">In re: </w:t>
      </w:r>
      <w:r>
        <w:rPr>
          <w:i/>
        </w:rPr>
        <w:t>Establishment of eligible telecommunications carriers pursuant to Section 214(e) of the Telecommunications Act of 1996,</w:t>
      </w:r>
      <w:r w:rsidRPr="00F00856">
        <w:rPr>
          <w:i/>
        </w:rPr>
        <w:t xml:space="preserve"> </w:t>
      </w:r>
      <w:r>
        <w:t xml:space="preserve">and Docket No. 970744-TP, </w:t>
      </w:r>
      <w:r w:rsidRPr="007700D8">
        <w:rPr>
          <w:i/>
        </w:rPr>
        <w:t xml:space="preserve">In Re: </w:t>
      </w:r>
      <w:r>
        <w:rPr>
          <w:i/>
        </w:rPr>
        <w:t>Implementation of changes in the Federal Lifeline Assistance Plan currently provided by telecommunications carriers of last resort</w:t>
      </w:r>
      <w:r w:rsidRPr="00536F37">
        <w:t>.</w:t>
      </w:r>
    </w:p>
  </w:footnote>
  <w:footnote w:id="2">
    <w:p w14:paraId="23F5E529" w14:textId="77777777" w:rsidR="00B73B36" w:rsidRDefault="00B73B36" w:rsidP="00B73B36">
      <w:pPr>
        <w:pStyle w:val="BodyText"/>
      </w:pPr>
      <w:r w:rsidRPr="00DE74A8">
        <w:rPr>
          <w:rStyle w:val="FootnoteReference"/>
          <w:sz w:val="20"/>
          <w:szCs w:val="20"/>
        </w:rPr>
        <w:footnoteRef/>
      </w:r>
      <w:r w:rsidRPr="00DE74A8">
        <w:rPr>
          <w:sz w:val="20"/>
          <w:szCs w:val="20"/>
        </w:rPr>
        <w:t xml:space="preserve"> </w:t>
      </w:r>
      <w:r w:rsidRPr="00404DA0">
        <w:t xml:space="preserve"> </w:t>
      </w:r>
      <w:r w:rsidRPr="00E83595">
        <w:rPr>
          <w:i/>
          <w:iCs/>
          <w:sz w:val="20"/>
          <w:szCs w:val="20"/>
        </w:rPr>
        <w:t>See</w:t>
      </w:r>
      <w:r w:rsidRPr="00404DA0">
        <w:rPr>
          <w:sz w:val="20"/>
          <w:szCs w:val="20"/>
        </w:rPr>
        <w:t xml:space="preserve"> Florida Public Service Commission, Florida Lifeline Assistance, December 2025, at 14 (“As of June 2025, wireless ETCs received approximately 99.4 percent of all Lifeline disbursements from USAC in Florida.”). </w:t>
      </w:r>
      <w:r>
        <w:fldChar w:fldCharType="begin"/>
      </w:r>
      <w:r>
        <w:instrText>HYPERLINK "https://www.floridapsc.com/pscfiles/website-files/PDF/Publications/Reports/Telecommunication/LifelineReport/%202025.pdf"</w:instrText>
      </w:r>
    </w:p>
    <w:p w14:paraId="2B651463" w14:textId="77777777" w:rsidR="00B73B36" w:rsidRPr="00DE74A8" w:rsidRDefault="00B73B36" w:rsidP="00B73B36">
      <w:pPr>
        <w:pStyle w:val="BodyText"/>
        <w:rPr>
          <w:sz w:val="20"/>
          <w:szCs w:val="20"/>
        </w:rPr>
      </w:pPr>
      <w:r>
        <w:fldChar w:fldCharType="separate"/>
      </w:r>
      <w:r>
        <w:rPr>
          <w:rStyle w:val="Hyperlink"/>
          <w:sz w:val="20"/>
          <w:szCs w:val="20"/>
        </w:rPr>
        <w:t>https://www.floridapsc.com/pscfiles/website-files/PDF/Publications/Reports/Telecommunication/LifelineReport/ 2025.pdf</w:t>
      </w:r>
      <w:r>
        <w:rPr>
          <w:rStyle w:val="Hyperlink"/>
          <w:sz w:val="20"/>
          <w:szCs w:val="20"/>
        </w:rPr>
        <w:fldChar w:fldCharType="end"/>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F7D25" w14:textId="52F5A400" w:rsidR="00FA6EFD" w:rsidRDefault="00E00024">
    <w:pPr>
      <w:pStyle w:val="OrderHeader"/>
    </w:pPr>
    <w:r>
      <w:t>ORDER NO. PSC-2026-0378-PAA-TL</w:t>
    </w:r>
  </w:p>
  <w:p w14:paraId="3A70C537" w14:textId="677CCCDA" w:rsidR="00FA6EFD" w:rsidRDefault="00A657ED">
    <w:pPr>
      <w:pStyle w:val="OrderHeader"/>
    </w:pPr>
    <w:bookmarkStart w:id="9" w:name="HeaderDocketNo"/>
    <w:bookmarkEnd w:id="9"/>
    <w:r>
      <w:t>DOCKET NO. 20260113-TL</w:t>
    </w:r>
  </w:p>
  <w:p w14:paraId="134AA17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31219EA3"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B01BA" w14:textId="6680DDAA" w:rsidR="00B73B36" w:rsidRDefault="00B73B36" w:rsidP="00B73B36">
    <w:pPr>
      <w:pStyle w:val="OrderHeader"/>
    </w:pPr>
    <w:r>
      <w:t xml:space="preserve">ORDER NO. </w:t>
    </w:r>
    <w:r w:rsidR="00E00024">
      <w:t>PSC-2026-0378-PAA-TL</w:t>
    </w:r>
    <w:r>
      <w:tab/>
    </w:r>
    <w:r>
      <w:tab/>
      <w:t>Attachment A</w:t>
    </w:r>
  </w:p>
  <w:p w14:paraId="5F2E253F" w14:textId="77777777" w:rsidR="00B73B36" w:rsidRDefault="00B73B36" w:rsidP="00B73B36">
    <w:pPr>
      <w:pStyle w:val="OrderHeader"/>
    </w:pPr>
    <w:r>
      <w:t>DOCKET NO. 20260113-TL</w:t>
    </w:r>
  </w:p>
  <w:p w14:paraId="0857BDD4" w14:textId="77777777" w:rsidR="00B73B36" w:rsidRDefault="00B73B36" w:rsidP="00B73B36">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14:paraId="00FD9BAF" w14:textId="77777777" w:rsidR="00B73B36" w:rsidRDefault="00B73B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13-TL"/>
  </w:docVars>
  <w:rsids>
    <w:rsidRoot w:val="00A657ED"/>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4ECC"/>
    <w:rsid w:val="00076E6B"/>
    <w:rsid w:val="00081971"/>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5CB6"/>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D7CC1"/>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7D9"/>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1F75"/>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26B08"/>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6F409E"/>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3E41"/>
    <w:rsid w:val="00994100"/>
    <w:rsid w:val="0099598E"/>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51FA"/>
    <w:rsid w:val="00A571FA"/>
    <w:rsid w:val="00A62DAB"/>
    <w:rsid w:val="00A657ED"/>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A7E79"/>
    <w:rsid w:val="00AB0E1A"/>
    <w:rsid w:val="00AB1A30"/>
    <w:rsid w:val="00AB3C36"/>
    <w:rsid w:val="00AB3D30"/>
    <w:rsid w:val="00AC3A51"/>
    <w:rsid w:val="00AC4B09"/>
    <w:rsid w:val="00AC5A01"/>
    <w:rsid w:val="00AC6449"/>
    <w:rsid w:val="00AD10EB"/>
    <w:rsid w:val="00AD1ED3"/>
    <w:rsid w:val="00AD35F4"/>
    <w:rsid w:val="00AD3717"/>
    <w:rsid w:val="00AD3A69"/>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B36"/>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3E99"/>
    <w:rsid w:val="00C065A1"/>
    <w:rsid w:val="00C06FB1"/>
    <w:rsid w:val="00C10ED5"/>
    <w:rsid w:val="00C12574"/>
    <w:rsid w:val="00C12CB3"/>
    <w:rsid w:val="00C151A6"/>
    <w:rsid w:val="00C24098"/>
    <w:rsid w:val="00C2571F"/>
    <w:rsid w:val="00C30A4E"/>
    <w:rsid w:val="00C3483B"/>
    <w:rsid w:val="00C3641C"/>
    <w:rsid w:val="00C411F3"/>
    <w:rsid w:val="00C44105"/>
    <w:rsid w:val="00C4562E"/>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6BD4"/>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6611"/>
    <w:rsid w:val="00D57132"/>
    <w:rsid w:val="00D57BB2"/>
    <w:rsid w:val="00D57E57"/>
    <w:rsid w:val="00D611DF"/>
    <w:rsid w:val="00D65405"/>
    <w:rsid w:val="00D70752"/>
    <w:rsid w:val="00D80E2D"/>
    <w:rsid w:val="00D824A6"/>
    <w:rsid w:val="00D84D5E"/>
    <w:rsid w:val="00D8560E"/>
    <w:rsid w:val="00D8758F"/>
    <w:rsid w:val="00DA1B0D"/>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024"/>
    <w:rsid w:val="00E001D6"/>
    <w:rsid w:val="00E00897"/>
    <w:rsid w:val="00E03A76"/>
    <w:rsid w:val="00E04410"/>
    <w:rsid w:val="00E07484"/>
    <w:rsid w:val="00E11351"/>
    <w:rsid w:val="00E114ED"/>
    <w:rsid w:val="00E17915"/>
    <w:rsid w:val="00E33F44"/>
    <w:rsid w:val="00E37D48"/>
    <w:rsid w:val="00E4225C"/>
    <w:rsid w:val="00E44879"/>
    <w:rsid w:val="00E61530"/>
    <w:rsid w:val="00E63A4F"/>
    <w:rsid w:val="00E72914"/>
    <w:rsid w:val="00E75AE0"/>
    <w:rsid w:val="00E76B61"/>
    <w:rsid w:val="00E83595"/>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23D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aliases w:val="(NECG) Footnote Reference,-E Funotenzeichen,A,Appel note de bas de p,FR,Footnote Reference/,Footnote Reference1,Ref,Style 1,Style 12,Style 124,Style 13,Style 17,Style 20,Style 3,Style 34,Style 4,Style 6,Style 7,Style 9,callout,fr,o"/>
    <w:semiHidden/>
    <w:rsid w:val="00CD7132"/>
    <w:rPr>
      <w:vertAlign w:val="superscript"/>
    </w:rPr>
  </w:style>
  <w:style w:type="paragraph" w:styleId="FootnoteText">
    <w:name w:val="footnote text"/>
    <w:aliases w:val="Footnote Text Char Char,Footnote Text Char Char Char Char,Footnote Text Char2 Char Char2 Char2 Char Char,Footnote Text Char4 Char Char1 Char Char,Footnote Text Char5 Char,Footnote Text Char5 Char Char,Footnote Text Char1"/>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B73B36"/>
    <w:pPr>
      <w:jc w:val="center"/>
    </w:pPr>
    <w:rPr>
      <w:rFonts w:ascii="Arial" w:hAnsi="Arial"/>
      <w:b/>
    </w:rPr>
  </w:style>
  <w:style w:type="character" w:customStyle="1" w:styleId="FootnoteTextChar">
    <w:name w:val="Footnote Text Char"/>
    <w:aliases w:val="Footnote Text Char Char Char,Footnote Text Char Char Char Char Char,Footnote Text Char2 Char Char2 Char2 Char Char Char,Footnote Text Char4 Char Char1 Char Char Char,Footnote Text Char5 Char Char1,Footnote Text Char5 Char Char Char"/>
    <w:basedOn w:val="DefaultParagraphFont"/>
    <w:link w:val="FootnoteText"/>
    <w:uiPriority w:val="99"/>
    <w:locked/>
    <w:rsid w:val="00B73B36"/>
  </w:style>
  <w:style w:type="character" w:styleId="Hyperlink">
    <w:name w:val="Hyperlink"/>
    <w:rsid w:val="00B73B36"/>
    <w:rPr>
      <w:color w:val="0000FF"/>
      <w:u w:val="single"/>
    </w:rPr>
  </w:style>
  <w:style w:type="paragraph" w:customStyle="1" w:styleId="IssueHeading">
    <w:name w:val="Issue Heading"/>
    <w:basedOn w:val="Heading1"/>
    <w:next w:val="BodyText"/>
    <w:link w:val="IssueHeadingChar"/>
    <w:qFormat/>
    <w:rsid w:val="00B73B36"/>
    <w:pPr>
      <w:keepNext w:val="0"/>
    </w:pPr>
    <w:rPr>
      <w:rFonts w:ascii="Arial" w:hAnsi="Arial"/>
      <w:b/>
      <w:i/>
    </w:rPr>
  </w:style>
  <w:style w:type="character" w:customStyle="1" w:styleId="IssueHeadingChar">
    <w:name w:val="Issue Heading Char"/>
    <w:link w:val="IssueHeading"/>
    <w:rsid w:val="00B73B36"/>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B73B36"/>
    <w:pPr>
      <w:keepNext w:val="0"/>
    </w:pPr>
    <w:rPr>
      <w:rFonts w:ascii="Arial" w:hAnsi="Arial"/>
      <w:b/>
      <w:i/>
    </w:rPr>
  </w:style>
  <w:style w:type="character" w:customStyle="1" w:styleId="IssueSubsectionHeadingChar">
    <w:name w:val="Issue Subsection Heading Char"/>
    <w:link w:val="IssueSubsectionHeading"/>
    <w:rsid w:val="00B73B36"/>
    <w:rPr>
      <w:rFonts w:ascii="Arial" w:hAnsi="Arial" w:cs="Arial"/>
      <w:b/>
      <w:bCs/>
      <w:i/>
      <w:iCs/>
      <w:sz w:val="24"/>
      <w:szCs w:val="28"/>
    </w:rPr>
  </w:style>
  <w:style w:type="paragraph" w:styleId="Revision">
    <w:name w:val="Revision"/>
    <w:hidden/>
    <w:uiPriority w:val="99"/>
    <w:semiHidden/>
    <w:rsid w:val="00451F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6085E-A3FD-4F9B-B10A-26DC86172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6</Pages>
  <Words>1442</Words>
  <Characters>8221</Characters>
  <Application>Microsoft Office Word</Application>
  <DocSecurity>0</DocSecurity>
  <Lines>68</Lines>
  <Paragraphs>19</Paragraphs>
  <ScaleCrop>false</ScaleCrop>
  <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2026-10-26T13:43:00Z</dcterms:created>
  <dcterms:modified xsi:type="dcterms:W3CDTF">2026-10-26T14:07:00Z</dcterms:modified>
</cp:coreProperties>
</file>