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9A" w:rsidRPr="0086522D" w:rsidRDefault="00DA069A">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86522D">
        <w:rPr>
          <w:rFonts w:ascii="Courier New" w:hAnsi="Courier New" w:cs="Courier New"/>
          <w:b/>
          <w:bCs/>
          <w:spacing w:val="-3"/>
          <w:sz w:val="24"/>
          <w:szCs w:val="24"/>
        </w:rPr>
        <w:t>FLORIDA PUBLIC SERVICE COMMISSION</w:t>
      </w:r>
      <w:r w:rsidRPr="0086522D">
        <w:rPr>
          <w:rFonts w:ascii="Courier New" w:hAnsi="Courier New" w:cs="Courier New"/>
          <w:b/>
          <w:bCs/>
          <w:spacing w:val="-3"/>
          <w:sz w:val="24"/>
          <w:szCs w:val="24"/>
        </w:rPr>
        <w:fldChar w:fldCharType="begin"/>
      </w:r>
      <w:r w:rsidRPr="0086522D">
        <w:rPr>
          <w:rFonts w:ascii="Courier New" w:hAnsi="Courier New" w:cs="Courier New"/>
          <w:b/>
          <w:bCs/>
          <w:spacing w:val="-3"/>
          <w:sz w:val="24"/>
          <w:szCs w:val="24"/>
        </w:rPr>
        <w:instrText xml:space="preserve">PRIVATE </w:instrText>
      </w:r>
      <w:r w:rsidRPr="0086522D">
        <w:rPr>
          <w:rFonts w:ascii="Courier New" w:hAnsi="Courier New" w:cs="Courier New"/>
          <w:b/>
          <w:bCs/>
          <w:spacing w:val="-3"/>
          <w:sz w:val="24"/>
          <w:szCs w:val="24"/>
        </w:rPr>
      </w:r>
      <w:r w:rsidRPr="0086522D">
        <w:rPr>
          <w:rFonts w:ascii="Courier New" w:hAnsi="Courier New" w:cs="Courier New"/>
          <w:b/>
          <w:bCs/>
          <w:spacing w:val="-3"/>
          <w:sz w:val="24"/>
          <w:szCs w:val="24"/>
        </w:rPr>
        <w:fldChar w:fldCharType="end"/>
      </w:r>
    </w:p>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DA069A" w:rsidRPr="0086522D" w:rsidRDefault="00DA069A">
      <w:pPr>
        <w:tabs>
          <w:tab w:val="center" w:pos="4680"/>
        </w:tabs>
        <w:suppressAutoHyphens/>
        <w:spacing w:line="240" w:lineRule="atLeast"/>
        <w:jc w:val="both"/>
        <w:rPr>
          <w:rFonts w:ascii="Courier New" w:hAnsi="Courier New" w:cs="Courier New"/>
          <w:b/>
          <w:bCs/>
          <w:spacing w:val="-3"/>
          <w:sz w:val="24"/>
          <w:szCs w:val="24"/>
        </w:rPr>
      </w:pPr>
      <w:r w:rsidRPr="0086522D">
        <w:rPr>
          <w:rFonts w:ascii="Courier New" w:hAnsi="Courier New" w:cs="Courier New"/>
          <w:b/>
          <w:bCs/>
          <w:spacing w:val="-3"/>
          <w:sz w:val="24"/>
          <w:szCs w:val="24"/>
        </w:rPr>
        <w:tab/>
        <w:t>Fletcher Building</w:t>
      </w:r>
    </w:p>
    <w:p w:rsidR="00DA069A" w:rsidRPr="0086522D" w:rsidRDefault="00DA069A">
      <w:pPr>
        <w:tabs>
          <w:tab w:val="center" w:pos="4680"/>
        </w:tabs>
        <w:suppressAutoHyphens/>
        <w:spacing w:line="240" w:lineRule="atLeast"/>
        <w:jc w:val="both"/>
        <w:rPr>
          <w:rFonts w:ascii="Courier New" w:hAnsi="Courier New" w:cs="Courier New"/>
          <w:b/>
          <w:bCs/>
          <w:spacing w:val="-3"/>
          <w:sz w:val="24"/>
          <w:szCs w:val="24"/>
        </w:rPr>
      </w:pPr>
      <w:r w:rsidRPr="0086522D">
        <w:rPr>
          <w:rFonts w:ascii="Courier New" w:hAnsi="Courier New" w:cs="Courier New"/>
          <w:b/>
          <w:bCs/>
          <w:spacing w:val="-3"/>
          <w:sz w:val="24"/>
          <w:szCs w:val="24"/>
        </w:rPr>
        <w:tab/>
        <w:t>101 East Gaines Street</w:t>
      </w:r>
    </w:p>
    <w:p w:rsidR="00DA069A" w:rsidRPr="0086522D" w:rsidRDefault="00DA069A">
      <w:pPr>
        <w:tabs>
          <w:tab w:val="center" w:pos="4680"/>
        </w:tabs>
        <w:suppressAutoHyphens/>
        <w:spacing w:line="240" w:lineRule="atLeast"/>
        <w:jc w:val="both"/>
        <w:rPr>
          <w:rFonts w:ascii="Courier New" w:hAnsi="Courier New" w:cs="Courier New"/>
          <w:b/>
          <w:bCs/>
          <w:spacing w:val="-3"/>
          <w:sz w:val="24"/>
          <w:szCs w:val="24"/>
        </w:rPr>
      </w:pPr>
      <w:r w:rsidRPr="0086522D">
        <w:rPr>
          <w:rFonts w:ascii="Courier New" w:hAnsi="Courier New" w:cs="Courier New"/>
          <w:b/>
          <w:bCs/>
          <w:spacing w:val="-3"/>
          <w:sz w:val="24"/>
          <w:szCs w:val="24"/>
        </w:rPr>
        <w:tab/>
        <w:t>Tallahassee, Florida  32399</w:t>
      </w:r>
      <w:r w:rsidRPr="0086522D">
        <w:rPr>
          <w:rFonts w:ascii="Courier New" w:hAnsi="Courier New" w:cs="Courier New"/>
          <w:b/>
          <w:bCs/>
          <w:spacing w:val="-3"/>
          <w:sz w:val="24"/>
          <w:szCs w:val="24"/>
        </w:rPr>
        <w:noBreakHyphen/>
        <w:t>0850</w:t>
      </w:r>
    </w:p>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DA069A" w:rsidRPr="0086522D" w:rsidRDefault="00DA069A">
      <w:pPr>
        <w:tabs>
          <w:tab w:val="center" w:pos="4680"/>
        </w:tabs>
        <w:suppressAutoHyphens/>
        <w:spacing w:line="240" w:lineRule="atLeast"/>
        <w:jc w:val="both"/>
        <w:rPr>
          <w:rFonts w:ascii="Courier New" w:hAnsi="Courier New" w:cs="Courier New"/>
          <w:b/>
          <w:bCs/>
          <w:spacing w:val="-3"/>
          <w:sz w:val="24"/>
          <w:szCs w:val="24"/>
        </w:rPr>
      </w:pPr>
      <w:r w:rsidRPr="0086522D">
        <w:rPr>
          <w:rFonts w:ascii="Courier New" w:hAnsi="Courier New" w:cs="Courier New"/>
          <w:b/>
          <w:bCs/>
          <w:spacing w:val="-3"/>
          <w:sz w:val="24"/>
          <w:szCs w:val="24"/>
        </w:rPr>
        <w:tab/>
      </w:r>
      <w:r w:rsidRPr="0086522D">
        <w:rPr>
          <w:rFonts w:ascii="Courier New" w:hAnsi="Courier New" w:cs="Courier New"/>
          <w:b/>
          <w:bCs/>
          <w:spacing w:val="-3"/>
          <w:sz w:val="24"/>
          <w:szCs w:val="24"/>
          <w:u w:val="single"/>
        </w:rPr>
        <w:t>M E M O R A N D U M</w:t>
      </w:r>
    </w:p>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DA069A" w:rsidRPr="0086522D" w:rsidRDefault="00DA069A">
      <w:pPr>
        <w:tabs>
          <w:tab w:val="center" w:pos="4680"/>
        </w:tabs>
        <w:suppressAutoHyphens/>
        <w:spacing w:line="240" w:lineRule="atLeast"/>
        <w:jc w:val="both"/>
        <w:rPr>
          <w:rFonts w:ascii="Courier New" w:hAnsi="Courier New" w:cs="Courier New"/>
          <w:b/>
          <w:bCs/>
          <w:spacing w:val="-3"/>
          <w:sz w:val="24"/>
          <w:szCs w:val="24"/>
        </w:rPr>
      </w:pPr>
      <w:r w:rsidRPr="0086522D">
        <w:rPr>
          <w:rFonts w:ascii="Courier New" w:hAnsi="Courier New" w:cs="Courier New"/>
          <w:b/>
          <w:bCs/>
          <w:spacing w:val="-3"/>
          <w:sz w:val="24"/>
          <w:szCs w:val="24"/>
        </w:rPr>
        <w:tab/>
        <w:t>January 26, 1995</w:t>
      </w:r>
    </w:p>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86522D">
        <w:rPr>
          <w:rFonts w:ascii="Courier New" w:hAnsi="Courier New" w:cs="Courier New"/>
          <w:b/>
          <w:bCs/>
          <w:spacing w:val="-3"/>
          <w:sz w:val="24"/>
          <w:szCs w:val="24"/>
        </w:rPr>
        <w:t>TO</w:t>
      </w:r>
      <w:r w:rsidRPr="0086522D">
        <w:rPr>
          <w:rFonts w:ascii="Courier New" w:hAnsi="Courier New" w:cs="Courier New"/>
          <w:b/>
          <w:bCs/>
          <w:spacing w:val="-3"/>
          <w:sz w:val="24"/>
          <w:szCs w:val="24"/>
        </w:rPr>
        <w:tab/>
        <w:t>:</w:t>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DIRECTOR, DIVISION OF RECORDS AND REPORTING [BAYÓ]</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86522D">
        <w:rPr>
          <w:rFonts w:ascii="Courier New" w:hAnsi="Courier New" w:cs="Courier New"/>
          <w:b/>
          <w:bCs/>
          <w:spacing w:val="-3"/>
          <w:sz w:val="24"/>
          <w:szCs w:val="24"/>
        </w:rPr>
        <w:t>FROM</w:t>
      </w:r>
      <w:r w:rsidRPr="0086522D">
        <w:rPr>
          <w:rFonts w:ascii="Courier New" w:hAnsi="Courier New" w:cs="Courier New"/>
          <w:b/>
          <w:bCs/>
          <w:spacing w:val="-3"/>
          <w:sz w:val="24"/>
          <w:szCs w:val="24"/>
        </w:rPr>
        <w:tab/>
        <w:t>:</w:t>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DIVISION OF ELECTRIC AND GAS [DUDLEY, BASS]</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86522D">
        <w:rPr>
          <w:rFonts w:ascii="Courier New" w:hAnsi="Courier New" w:cs="Courier New"/>
          <w:b/>
          <w:bCs/>
          <w:spacing w:val="-3"/>
          <w:sz w:val="24"/>
          <w:szCs w:val="24"/>
        </w:rPr>
        <w:tab/>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DIVISION OF LEGAL SERVICES [JOHNSON]</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86522D">
        <w:rPr>
          <w:rFonts w:ascii="Courier New" w:hAnsi="Courier New" w:cs="Courier New"/>
          <w:b/>
          <w:bCs/>
          <w:spacing w:val="-3"/>
          <w:sz w:val="24"/>
          <w:szCs w:val="24"/>
        </w:rPr>
        <w:tab/>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DIVISION OF AUDITING AND FINANCIAL ANALYSIS [MAUREY]</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86522D">
        <w:rPr>
          <w:rFonts w:ascii="Courier New" w:hAnsi="Courier New" w:cs="Courier New"/>
          <w:b/>
          <w:bCs/>
          <w:spacing w:val="-3"/>
          <w:sz w:val="24"/>
          <w:szCs w:val="24"/>
        </w:rPr>
        <w:t>RE</w:t>
      </w:r>
      <w:r w:rsidRPr="0086522D">
        <w:rPr>
          <w:rFonts w:ascii="Courier New" w:hAnsi="Courier New" w:cs="Courier New"/>
          <w:b/>
          <w:bCs/>
          <w:spacing w:val="-3"/>
          <w:sz w:val="24"/>
          <w:szCs w:val="24"/>
        </w:rPr>
        <w:tab/>
        <w:t>:</w:t>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DOCKET NO. 950001-EI - PETITION OF TAMPA ELECTRIC COMPANY FOR RECOVERY OF PEABODY COAL CONTRACT BUY-OUT COSTS.</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86522D">
        <w:rPr>
          <w:rFonts w:ascii="Courier New" w:hAnsi="Courier New" w:cs="Courier New"/>
          <w:b/>
          <w:bCs/>
          <w:spacing w:val="-3"/>
          <w:sz w:val="24"/>
          <w:szCs w:val="24"/>
        </w:rPr>
        <w:t>AGENDA:</w:t>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1/31/95 - REGULAR AGENDA - PROPOSED AGENCY ACTION - INTERESTED PERSONS MAY PARTICIPATE</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2880" w:hanging="2880"/>
        <w:jc w:val="both"/>
        <w:rPr>
          <w:rFonts w:ascii="Courier New" w:hAnsi="Courier New" w:cs="Courier New"/>
          <w:b/>
          <w:bCs/>
          <w:spacing w:val="-3"/>
          <w:sz w:val="24"/>
          <w:szCs w:val="24"/>
        </w:rPr>
      </w:pPr>
      <w:r w:rsidRPr="0086522D">
        <w:rPr>
          <w:rFonts w:ascii="Courier New" w:hAnsi="Courier New" w:cs="Courier New"/>
          <w:b/>
          <w:bCs/>
          <w:spacing w:val="-3"/>
          <w:sz w:val="24"/>
          <w:szCs w:val="24"/>
        </w:rPr>
        <w:t>CRITICAL DATES:</w:t>
      </w:r>
      <w:r w:rsidR="0086522D">
        <w:rPr>
          <w:rFonts w:ascii="Courier New" w:hAnsi="Courier New" w:cs="Courier New"/>
          <w:b/>
          <w:bCs/>
          <w:spacing w:val="-3"/>
          <w:sz w:val="24"/>
          <w:szCs w:val="24"/>
        </w:rPr>
        <w:tab/>
      </w:r>
      <w:r w:rsidRPr="0086522D">
        <w:rPr>
          <w:rFonts w:ascii="Courier New" w:hAnsi="Courier New" w:cs="Courier New"/>
          <w:b/>
          <w:bCs/>
          <w:spacing w:val="-3"/>
          <w:sz w:val="24"/>
          <w:szCs w:val="24"/>
        </w:rPr>
        <w:t>NONE</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3600" w:hanging="3600"/>
        <w:jc w:val="both"/>
        <w:rPr>
          <w:rFonts w:ascii="Courier New" w:hAnsi="Courier New" w:cs="Courier New"/>
          <w:b/>
          <w:bCs/>
          <w:spacing w:val="-3"/>
          <w:sz w:val="24"/>
          <w:szCs w:val="24"/>
        </w:rPr>
      </w:pPr>
      <w:r w:rsidRPr="0086522D">
        <w:rPr>
          <w:rFonts w:ascii="Courier New" w:hAnsi="Courier New" w:cs="Courier New"/>
          <w:b/>
          <w:bCs/>
          <w:spacing w:val="-3"/>
          <w:sz w:val="24"/>
          <w:szCs w:val="24"/>
        </w:rPr>
        <w:t>SPECIAL INSTRUCTIONS:I:\PSC\AFA\WP\950001.RCM</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3600" w:hanging="3600"/>
        <w:jc w:val="both"/>
        <w:rPr>
          <w:rFonts w:ascii="Courier New" w:hAnsi="Courier New" w:cs="Courier New"/>
          <w:b/>
          <w:bCs/>
          <w:spacing w:val="-3"/>
          <w:sz w:val="24"/>
          <w:szCs w:val="24"/>
        </w:rPr>
      </w:pPr>
      <w:r w:rsidRPr="0086522D">
        <w:rPr>
          <w:rFonts w:ascii="Courier New" w:hAnsi="Courier New" w:cs="Courier New"/>
          <w:b/>
          <w:bCs/>
          <w:spacing w:val="-3"/>
          <w:sz w:val="24"/>
          <w:szCs w:val="24"/>
        </w:rPr>
        <w:t>ATTACHMENT IS NOT AVAILABLE</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r w:rsidRPr="0086522D">
        <w:rPr>
          <w:rFonts w:ascii="Courier New" w:hAnsi="Courier New" w:cs="Courier New"/>
          <w:b/>
          <w:bCs/>
          <w:spacing w:val="-3"/>
          <w:sz w:val="24"/>
          <w:szCs w:val="24"/>
        </w:rPr>
        <w:sym w:font="Courier New" w:char="2500"/>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center" w:pos="468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rPr>
        <w:tab/>
      </w:r>
      <w:r w:rsidRPr="0086522D">
        <w:rPr>
          <w:rFonts w:ascii="Courier New" w:hAnsi="Courier New" w:cs="Courier New"/>
          <w:b/>
          <w:bCs/>
          <w:spacing w:val="-3"/>
          <w:sz w:val="24"/>
          <w:szCs w:val="24"/>
          <w:u w:val="single"/>
        </w:rPr>
        <w:t>CASE BACKGROUND</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On December 23, 1994, Tampa Electric Company (TECO) filed a petition to recover costs associated with the buy-out of the Peabody Coal Sales, Inc. (Peabody) coal contract.  The company proposes to recover the retail portion of a $25.5 million buy-out payment, plus carrying costs, through the Fuel and Purchased Power Cost Recovery Clause beginning with the April through September 1995 fuel adjustment period.  As a result of the contract buy-out, the company estimates that TECO's ratepayers will realize $88 million in cumulative nominal savings through the year 2004.</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On July 8, 1983, TECO and Peabody entered into a twenty year coal contract.  Over the years the contract underwent several provision changes.  Beginning in 1994, TECO became increasingly concerned about Peabody's ability to reliably ship the contract tonnages.  Therefore, on July 8, 1994, TECO indicated their concerns to Peabody and requested some assurances.  Peabody did not respond, and on August 11, 1994, TECO sent Peabody an additional letter indicating that they viewed the contract as being cancelled.  Peabody then took the matter through several levels of litigation until it </w:t>
      </w:r>
      <w:r w:rsidRPr="0086522D">
        <w:rPr>
          <w:rFonts w:ascii="Courier New" w:hAnsi="Courier New" w:cs="Courier New"/>
          <w:spacing w:val="-3"/>
          <w:sz w:val="24"/>
          <w:szCs w:val="24"/>
        </w:rPr>
        <w:lastRenderedPageBreak/>
        <w:t>was successfully resolved by Peabody and TECO agreeing to terminate the disputed contract.  TECO and Peabody mutually agreed to terminate the original contract on December 31, 1994, and to replace it with two new contracts beginning January 1, 1995.  In addition to obtaining adequate assurances of reliable coal supplies, TECO was also able to obtain significant price reductions that will produce substantial savings over the original contract price.</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Once termination of the original contract had been resolved, TECO began negotiating the terms of the two replacement coal contracts with Peabody.  The first replacement contract will replace 250,000 tons/yr of the original 750,000 tons/yr and will continue until 2004, the full term of the original contract.  The second replacement contract will make-up the remaining 500,000 tons/yr, but will only last until 1999.  After 1999, TECO will have to purchase supplemental coal from the spot market to balance out the original 750,000 tonnage requirement.  In addition, TECO will also purchase supplemental spot market coal to equate the replacement coal with the original contract on a BTU basis.</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center" w:pos="468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br w:type="page"/>
      </w:r>
      <w:r w:rsidRPr="0086522D">
        <w:rPr>
          <w:rFonts w:ascii="Courier New" w:hAnsi="Courier New" w:cs="Courier New"/>
          <w:b/>
          <w:bCs/>
          <w:spacing w:val="-3"/>
          <w:sz w:val="24"/>
          <w:szCs w:val="24"/>
        </w:rPr>
        <w:lastRenderedPageBreak/>
        <w:tab/>
      </w:r>
      <w:r w:rsidRPr="0086522D">
        <w:rPr>
          <w:rFonts w:ascii="Courier New" w:hAnsi="Courier New" w:cs="Courier New"/>
          <w:b/>
          <w:bCs/>
          <w:spacing w:val="-3"/>
          <w:sz w:val="24"/>
          <w:szCs w:val="24"/>
          <w:u w:val="single"/>
        </w:rPr>
        <w:t>DISCUSSION OF ISSUES</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u w:val="single"/>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ISSUE 1:</w:t>
      </w:r>
      <w:r w:rsidRPr="0086522D">
        <w:rPr>
          <w:rFonts w:ascii="Courier New" w:hAnsi="Courier New" w:cs="Courier New"/>
          <w:spacing w:val="-3"/>
          <w:sz w:val="24"/>
          <w:szCs w:val="24"/>
        </w:rPr>
        <w:t xml:space="preserve">  Should the Commission approve TECO's  petition to recover costs associated with the buy-out of the Peabody coal contract?</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RECOMMENDATION:</w:t>
      </w:r>
      <w:r w:rsidRPr="0086522D">
        <w:rPr>
          <w:rFonts w:ascii="Courier New" w:hAnsi="Courier New" w:cs="Courier New"/>
          <w:spacing w:val="-3"/>
          <w:sz w:val="24"/>
          <w:szCs w:val="24"/>
        </w:rPr>
        <w:t xml:space="preserve">  Yes, the Peabody coal contract buy-out appears to produce substantial savings to TECO's ratepayers.  Therefore, the Commission should allow TECO to recover the $25.5 million buy-out cost plus carrying costs through the Fuel and Purchased Power Cost Recovery clause beginning April 1995.  (Dudley)</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STAFF ANALYSIS:</w:t>
      </w:r>
      <w:r w:rsidRPr="0086522D">
        <w:rPr>
          <w:rFonts w:ascii="Courier New" w:hAnsi="Courier New" w:cs="Courier New"/>
          <w:spacing w:val="-3"/>
          <w:sz w:val="24"/>
          <w:szCs w:val="24"/>
        </w:rPr>
        <w:tab/>
        <w:t>Exhibit #3 to TECO's filing is an analysis of the projected savings associated with the buy-out.  As indicated on the exhibit, TECO projects that the original contract, minus replacement coal cost, simple amortization of the $25.5 million payment and carrying costs at 13.47%, will provide positive net savings in every year through 2004.  Attachment 1 to the recommendation is Staff's analysis of TECO's method and three additional scenarios under which recovery of the buy-out cost could occur.  The first is as filed by TECO and as detailed on Exhibit #3.  The second scenario has the $25.5 million payment amortized through 1999, when the second contract ends and TECO begins relying heavily on spot market coal, and carrying costs based on the 90-day commercial paper rate which is also used to calculate fuel adjustment true-up amounts.  The third scenario reduces the $25.5 million plus carrying costs, based on the 90-day commercial paper rate, by the amount of the annual fuel savings until it is fully amortized.  However, this scenario offers no benefit to the ratepayer until the fourth year, when the fuel savings begins to outweigh the remaining principal balance.  The final scenario, accumulates carrying charges at the rate proposed by TECO, 13.47%, but reduces the amortization period to five years.  Though the remaining issues in this recommendation will suggest the appropriate amortization period and interest rate, it should be noted that all four scenarios provide for positive cumulative savings over the projected period.</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Because the original contract will be primarily replaced with two new contracts, the only variable component of the projected savings is supplemental spot market coal.  As mentioned above, TECO will partially rely on this supplemental spot market coal from 1995 through 1999 and projects to substantially rely on spot market coal beyond 1999.  At first, Staff was concerned that TECO may have under stated the rate at which the price of spot market coal will escalate.  However, after reviewing TECO's analysis, Staff believes that TECO's </w:t>
      </w:r>
      <w:r w:rsidRPr="0086522D">
        <w:rPr>
          <w:rFonts w:ascii="Courier New" w:hAnsi="Courier New" w:cs="Courier New"/>
          <w:spacing w:val="-3"/>
          <w:sz w:val="24"/>
          <w:szCs w:val="24"/>
        </w:rPr>
        <w:lastRenderedPageBreak/>
        <w:t>estimates are reasonable and that a substantial increase above TECO's projections would have to occur before its ratepayers would not realize a positive cumulative savings.  Therefore, Staff recommends that the Commission allow TECO to recover the $25.5 Million buy-out cost plus carrying costs through the Fuel and Purchased Power Cost Recovery clause beginning April 1995.</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br w:type="page"/>
      </w:r>
      <w:r w:rsidRPr="0086522D">
        <w:rPr>
          <w:rFonts w:ascii="Courier New" w:hAnsi="Courier New" w:cs="Courier New"/>
          <w:b/>
          <w:bCs/>
          <w:spacing w:val="-3"/>
          <w:sz w:val="24"/>
          <w:szCs w:val="24"/>
          <w:u w:val="single"/>
        </w:rPr>
        <w:lastRenderedPageBreak/>
        <w:t>ISSUE 2</w:t>
      </w:r>
      <w:r w:rsidRPr="0086522D">
        <w:rPr>
          <w:rFonts w:ascii="Courier New" w:hAnsi="Courier New" w:cs="Courier New"/>
          <w:b/>
          <w:bCs/>
          <w:spacing w:val="-3"/>
          <w:sz w:val="24"/>
          <w:szCs w:val="24"/>
        </w:rPr>
        <w:t>:</w:t>
      </w:r>
      <w:r w:rsidRPr="0086522D">
        <w:rPr>
          <w:rFonts w:ascii="Courier New" w:hAnsi="Courier New" w:cs="Courier New"/>
          <w:spacing w:val="-3"/>
          <w:sz w:val="24"/>
          <w:szCs w:val="24"/>
        </w:rPr>
        <w:t xml:space="preserve">  What is the appropriate period for amortizing the $25.5 million Peabody coal contract buy-out cost?</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RECOMMENDATION</w:t>
      </w:r>
      <w:r w:rsidRPr="0086522D">
        <w:rPr>
          <w:rFonts w:ascii="Courier New" w:hAnsi="Courier New" w:cs="Courier New"/>
          <w:b/>
          <w:bCs/>
          <w:spacing w:val="-3"/>
          <w:sz w:val="24"/>
          <w:szCs w:val="24"/>
        </w:rPr>
        <w:t xml:space="preserve">:  </w:t>
      </w:r>
      <w:r w:rsidRPr="0086522D">
        <w:rPr>
          <w:rFonts w:ascii="Courier New" w:hAnsi="Courier New" w:cs="Courier New"/>
          <w:spacing w:val="-3"/>
          <w:sz w:val="24"/>
          <w:szCs w:val="24"/>
        </w:rPr>
        <w:t>Staff recommends TECO be allowed to recover the $25.5 million Peabody coal contract buy-out cost, plus carrying costs, on a straight line basis over a 5-year period.  (Maurey)</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 xml:space="preserve">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STAFF ANALYSIS</w:t>
      </w:r>
      <w:r w:rsidRPr="0086522D">
        <w:rPr>
          <w:rFonts w:ascii="Courier New" w:hAnsi="Courier New" w:cs="Courier New"/>
          <w:b/>
          <w:bCs/>
          <w:spacing w:val="-3"/>
          <w:sz w:val="24"/>
          <w:szCs w:val="24"/>
        </w:rPr>
        <w:t>:</w:t>
      </w:r>
      <w:r w:rsidRPr="0086522D">
        <w:rPr>
          <w:rFonts w:ascii="Courier New" w:hAnsi="Courier New" w:cs="Courier New"/>
          <w:spacing w:val="-3"/>
          <w:sz w:val="24"/>
          <w:szCs w:val="24"/>
        </w:rPr>
        <w:t xml:space="preserve">  Staff has reviewed four options regarding how TECO should be allowed to recover the $25.5 million Peabody coal contract buy-out cost plus carrying costs.  The options are a straight line amortization over a 10-year period with interest at a 13.47% rate of return on the unamortized balance, straight line amortization over a 5-year period with interest at 13.47%, straight line amortization over a 5-year period with interest at the 90-day commercial paper rate consistent with the true-up methodology in the fuel adjustment recovery clause, and a breakeven (variable) amortization over 42 months with interest at the 90-day commercial paper rate.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In its petition, TECO requests that the $25.5 million buy-out cost, plus carrying costs, be amortized on a straight line basis over the period from April 1995 through December 2004.  TECO is requesting that the company be allowed to earn a return of 13.47% on the unamortized balance of the buy-out cost over the 10-year recovery period.  The amortization period is based on the years remaining on the canceled contract.  The proposed 13.47% before tax rate of return is based on the embedded capital ratios of investor sources of capital approved in the company's last rate case in Order Nos. PSC-93-0165-FOF-EI and PSC-93-0664-FOF-EI (Docket No. 920324-EI), the return on equity of 11.35% approved in Order No. PSC-94-0337-FOF-EI (Docket No. 930987-EI), and the current embedded cost of long-term debt and preferred stock as reported in the company's October 1994 Rate of Return Surveillance Report.</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There is precedent for the regulatory treatment requested by TECO.  In Order No. 20133 (Docket No. 880001-EI), the Commission approved Gulf Power Company's (Gulf) petition to recover the $60 million Peabody coal contract buy-out cost, plus carrying costs, through the fuel adjustment recovery clause.  The Commission approved a straight line amortization over a 10-year period at a before tax rate of return of 14.69%.  The amortization period was tied to the years remaining on the canceled contract.  The rate of return Gulf was allowed to earn on the unamortized balance was based on a capital ratio of 58.3% long-term debt at a cost rate of 9.2% and 41.7% common equity at a cost rate of 13.75%.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In support of its request, TECO reports that because "the canceled contract has been replaced with two contracts at significantly lower coal prices, fuel savings in excess of the buy-out cost are guaranteed."  The company also notes that "the fuel savings associated with the new contract coal in the first five years alone exceeds the buy-out cost."  The first 5-year period is relevant because it coincides with the expiration of the larger of the two replacement contracts.  The first new contract provides 250,000 tons of coal per year from 1995 through 2004.  The second new contract provides 500,000 tons of coal per year from 1995 through 1998 and then provides 375,000 tons per year in 1999.  Although fuel savings in excess of the buy-out cost are guaranteed over the first 5 years, the actual fuel savings after 1999 will depend on the cost of the replacement coal the company must purchase after the second new contract expires.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 xml:space="preserve">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Although fuel savings is a major issue in determining if the contract buy-out is in the public interest, Staff believes consideration must also be given to the ramifications of creating an additional long-term regulatory asset.  In a special report titled "Deferred Charges Revisited" released by Fitch Research on January 9, 1995, the rating service discussed the issue of deferred charges and regulatory assets in light of the new competitive environment.  The report stated:</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86522D">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righ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DA069A" w:rsidRPr="0086522D">
        <w:rPr>
          <w:rFonts w:ascii="Courier New" w:hAnsi="Courier New" w:cs="Courier New"/>
          <w:spacing w:val="-3"/>
          <w:sz w:val="24"/>
          <w:szCs w:val="24"/>
        </w:rPr>
        <w:t xml:space="preserve">With competition in the electric market, investors are wary of utilities' deferred assets.  The capitalization of utilities' expenses as assets depends on two underlying assumptions:  utilities will continue to operate in a monopoly marketplace; and regulatory commissions can and will determine utility revenues based on costs.  However, these assumptions are now in question.  Regardless of how the future electric power market evolves, it is unlikely that investors will be able to rely on previous regulatory arrangements as an assurance that deferred assets will be recovered.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 xml:space="preserve">The implication from the Fitch report is that as the electric industry moves towards increased competition, the utilities with higher deferred asset concentration and higher electric production costs will face greater risk that future revenue may not be sufficient to </w:t>
      </w:r>
      <w:r w:rsidRPr="0086522D">
        <w:rPr>
          <w:rFonts w:ascii="Courier New" w:hAnsi="Courier New" w:cs="Courier New"/>
          <w:spacing w:val="-3"/>
          <w:sz w:val="24"/>
          <w:szCs w:val="24"/>
        </w:rPr>
        <w:lastRenderedPageBreak/>
        <w:t>recover prior investments in regulatory assets and deferred charges.  Given that the new contracts "lock-in" fuel savings during the first 5 years which exceed the 25.5 million buy-out cost and given the evolving nature of competition in the electric industry, Staff considered additional options involving shorter amortization periods.</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Although TECO has requested recovery of the buy-out cost over a 10-year period and contends that a long-term rate of return is appropriate for recovery of this investment, there is precedent for using the rate of return consistent with the true-up methodology in the fuel adjustment recovery clause when the buy-out cost is amortized over a shorter period of time.  In Order No. 18670 (Docket No. 880001-EI), the Commission approved TECO's petition to recover the $49 million Pyramid coal contract buy-out cost, plus carrying costs, through the fuel adjustment recovery clause.  In its Pyramid petition, TECO requested a fuel savings sharing plan which involved recovery of fixed amounts over a 45-month period rather than a straight line amortization.  The company also requested to earn interest on the unamortized balance "at the actual commercial paper rate in effect from time to time consistent with the true-up methodology set forth in the fuel adjustment filings."  However, in Order No. 18670 the Commission found "having considered the methodologies proposed by TECO and the Staff, we conclude that the simplest method would be a four-year, straight line amortization of the $49 million buy-out costs.  This will provide for recovery of a fixed amount during each fuel adjustment period with interest accruing at the rate approved for fuel adjustment proceedings."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TECO contends the regulatory treatment granted Gulf is warranted in this case rather than the treatment granted in TECO's Pyramid contract buy-out.  Staff believes because there is precedent for using different rates of return based on the length of the amortization period, the question is actually which amortization period is most appropriate under the current circumstances in the instant case.</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 xml:space="preserve">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Staff conducted a sensitivity analysis of the fuel savings over a 10-year time horizon under several scenarios.  Exhibit 3 from TECO's petition was used as the basis for this analysis.  Using the company's forecast of annual fuel savings and varying only the amortization period and rate of return assumptions associated with recovery of the buy-out cost, Staff was able to determine the annual net fuel savings and cumulative present value savings under the four scenarios presented.  Attachment 1 of this recommendation details Staff's analysis.  Also provided as Attachment 2 is a graph of the annual </w:t>
      </w:r>
      <w:r w:rsidRPr="0086522D">
        <w:rPr>
          <w:rFonts w:ascii="Courier New" w:hAnsi="Courier New" w:cs="Courier New"/>
          <w:spacing w:val="-3"/>
          <w:sz w:val="24"/>
          <w:szCs w:val="24"/>
        </w:rPr>
        <w:lastRenderedPageBreak/>
        <w:t xml:space="preserve">fuel savings in nominal dollars under each scenario.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Before Staff explains the results of its analysis, it should be noted that although Staff discusses the options in terms of 5-year and 10-year periods, the actual amortization amounts are calculated over 57 and 117 month periods, respectively.  This was done because the amortization will begin in April 1995 and the underlying contracts on which the amortization periods are based will expire in December 1999 and December 2004, respectively.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The net fuel savings over each of the first 5 years is greatest under the 10-year amortization scenario.  This translates to the lowest rates for ratepayers in the near-term.  However, the cumulative present value savings over the 10-year horizon under this scenario of $29.4 million is the lowest of the four options presented.</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It has been suggested that the company may contend it should be allowed to earn 13.47% on the unamortized balance regardless of whether the amortization period is 10 years or 5 years.  Holding the rate of return of 13.47% constant but shortening the amortization period to 5 years produces minor fuel savings in 4 of the first 5 years.  The cumulative present value savings of $31.9 million is greater than the cumulative savings provided under the 10-year option but there is negative savings in 1996.  Negative savings in any year means the ratepayers are funding a portion of the buy-out cost in that particular period.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Under the breakeven (variable) amortization option, the net fuel savings are zero over the first 3 years as the annual amortization amounts with interest are matched to fuel savings in each year.  However, after 42 months the net fuel savings increases appreciably producing cumulative present value savings over the 10-year horizon of $36.4 million.</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Although the net fuel savings are marginally less over the first 5 years under the 5-year amortization scenario with interest at the commercial paper rate compared to the fuel savings indicated under the 10-year amortization scenario, the $25.5 million buy-out cost is fully recovered and net fuel savings are experienced in each of the first 5 years.  As was the case under the breakeven and the other 5-year amortization options, once recovery of the buy-out cost is complete the fuel savings increases appreciably.  The cumulative present value savings under this scenario is $36.6 million, the greatest cumulative amount of savings of the four scenarios presented.</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ab/>
        <w:t xml:space="preserve">The 10-year amortization option provides the greatest net fuel savings over the first 5 years.  From the stand point of pending competition, this option would result in the lowest rates over the near-term.  The breakeven amortization option does not allow for any fuel savings over the first 42 months but does provide greater cumulative present value savings over the 10-year horizon.  While this option would remove the regulatory asset from the company's books in the shortest amount of time, the variable amortization would increase the administrative burden during true-up in the fuel recovery proceedings.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 xml:space="preserve">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t xml:space="preserve"> </w:t>
      </w:r>
      <w:r w:rsidRPr="0086522D">
        <w:rPr>
          <w:rFonts w:ascii="Courier New" w:hAnsi="Courier New" w:cs="Courier New"/>
          <w:spacing w:val="-3"/>
          <w:sz w:val="24"/>
          <w:szCs w:val="24"/>
        </w:rPr>
        <w:tab/>
        <w:t xml:space="preserve">Based on its analysis, Staff believes the 5-year amortization option with interest on the unamortized balance at the commercial paper rate is a reasonable approach.  Staff's recommended treatment allows for greater net fuel savings to be realized and passed on to ratepayers in the near-term than under the breakeven option or the other 5-year amortization scenario and allows for greater net fuel savings to be realized and passed on to ratepayers in the long-term than under the 10-year amortization option.  Although Staff's recommended treatment means the regulatory asset will be on the company's books approximately 15 months longer than under the breakeven amortization option, it will be written off 5 years sooner than under the 10-year option.  Finally, based on the company's fuel savings forecast, the 5-year option recommended by Staff will produce $7.2 million more in cumulative present value savings than under the 10-year option and $4.7 million more than under the 5-year option with interest at 13.47%.                       </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spacing w:val="-3"/>
          <w:sz w:val="24"/>
          <w:szCs w:val="24"/>
        </w:rPr>
        <w:br w:type="page"/>
      </w:r>
      <w:r w:rsidRPr="0086522D">
        <w:rPr>
          <w:rFonts w:ascii="Courier New" w:hAnsi="Courier New" w:cs="Courier New"/>
          <w:b/>
          <w:bCs/>
          <w:spacing w:val="-3"/>
          <w:sz w:val="24"/>
          <w:szCs w:val="24"/>
          <w:u w:val="single"/>
        </w:rPr>
        <w:lastRenderedPageBreak/>
        <w:t>ISSUE 3</w:t>
      </w:r>
      <w:r w:rsidRPr="0086522D">
        <w:rPr>
          <w:rFonts w:ascii="Courier New" w:hAnsi="Courier New" w:cs="Courier New"/>
          <w:b/>
          <w:bCs/>
          <w:spacing w:val="-3"/>
          <w:sz w:val="24"/>
          <w:szCs w:val="24"/>
        </w:rPr>
        <w:t>:</w:t>
      </w:r>
      <w:r w:rsidRPr="0086522D">
        <w:rPr>
          <w:rFonts w:ascii="Courier New" w:hAnsi="Courier New" w:cs="Courier New"/>
          <w:spacing w:val="-3"/>
          <w:sz w:val="24"/>
          <w:szCs w:val="24"/>
        </w:rPr>
        <w:t xml:space="preserve">  What is the appropriate rate of return TECO should be allowed to earn on the unamortized balance of the Peabody coal contract buy-out cost?</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RECOMMENDATION</w:t>
      </w:r>
      <w:r w:rsidRPr="0086522D">
        <w:rPr>
          <w:rFonts w:ascii="Courier New" w:hAnsi="Courier New" w:cs="Courier New"/>
          <w:b/>
          <w:bCs/>
          <w:spacing w:val="-3"/>
          <w:sz w:val="24"/>
          <w:szCs w:val="24"/>
        </w:rPr>
        <w:t xml:space="preserve">:  </w:t>
      </w:r>
      <w:r w:rsidRPr="0086522D">
        <w:rPr>
          <w:rFonts w:ascii="Courier New" w:hAnsi="Courier New" w:cs="Courier New"/>
          <w:spacing w:val="-3"/>
          <w:sz w:val="24"/>
          <w:szCs w:val="24"/>
        </w:rPr>
        <w:t>If a 5-year amortization period as recommended by Staff in Issue 2 is approved, the rate should be the actual commercial paper rate in effect from time to time consistent with the true-up methodology set forth in the fuel adjustment filings.  If a 10-year amortization period as recommended by TECO is approved, the rate should be 13.47%.  This rate should remain in effect until the Commission issues another order revising the capital ratios and/or the cost rates.  (Maurey)</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STAFF ANALYSIS</w:t>
      </w:r>
      <w:r w:rsidRPr="0086522D">
        <w:rPr>
          <w:rFonts w:ascii="Courier New" w:hAnsi="Courier New" w:cs="Courier New"/>
          <w:b/>
          <w:bCs/>
          <w:spacing w:val="-3"/>
          <w:sz w:val="24"/>
          <w:szCs w:val="24"/>
        </w:rPr>
        <w:t>:</w:t>
      </w:r>
      <w:r w:rsidRPr="0086522D">
        <w:rPr>
          <w:rFonts w:ascii="Courier New" w:hAnsi="Courier New" w:cs="Courier New"/>
          <w:spacing w:val="-3"/>
          <w:sz w:val="24"/>
          <w:szCs w:val="24"/>
        </w:rPr>
        <w:t xml:space="preserve">  Please see Staff Analysis in Issue 2.</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ISSUE 4</w:t>
      </w:r>
      <w:r w:rsidRPr="0086522D">
        <w:rPr>
          <w:rFonts w:ascii="Courier New" w:hAnsi="Courier New" w:cs="Courier New"/>
          <w:b/>
          <w:bCs/>
          <w:spacing w:val="-3"/>
          <w:sz w:val="24"/>
          <w:szCs w:val="24"/>
        </w:rPr>
        <w:t xml:space="preserve"> :</w:t>
      </w:r>
      <w:r w:rsidRPr="0086522D">
        <w:rPr>
          <w:rFonts w:ascii="Courier New" w:hAnsi="Courier New" w:cs="Courier New"/>
          <w:spacing w:val="-3"/>
          <w:sz w:val="24"/>
          <w:szCs w:val="24"/>
        </w:rPr>
        <w:tab/>
        <w:t>Should this Docket be closed?</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RECOMMENDATION</w:t>
      </w:r>
      <w:r w:rsidRPr="0086522D">
        <w:rPr>
          <w:rFonts w:ascii="Courier New" w:hAnsi="Courier New" w:cs="Courier New"/>
          <w:b/>
          <w:bCs/>
          <w:spacing w:val="-3"/>
          <w:sz w:val="24"/>
          <w:szCs w:val="24"/>
        </w:rPr>
        <w:t>:</w:t>
      </w:r>
      <w:r w:rsidRPr="0086522D">
        <w:rPr>
          <w:rFonts w:ascii="Courier New" w:hAnsi="Courier New" w:cs="Courier New"/>
          <w:spacing w:val="-3"/>
          <w:sz w:val="24"/>
          <w:szCs w:val="24"/>
        </w:rPr>
        <w:tab/>
        <w:t>No.  The Fuel and Purchased Power Cost Recovery Clause docket should remain open.  (Dudley)</w:t>
      </w: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DA069A" w:rsidRPr="0086522D" w:rsidRDefault="00DA069A">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u w:val="single"/>
        </w:rPr>
        <w:t>STAFF ANALYSIS</w:t>
      </w:r>
      <w:r w:rsidRPr="0086522D">
        <w:rPr>
          <w:rFonts w:ascii="Courier New" w:hAnsi="Courier New" w:cs="Courier New"/>
          <w:spacing w:val="-3"/>
          <w:sz w:val="24"/>
          <w:szCs w:val="24"/>
        </w:rPr>
        <w:t>:</w:t>
      </w:r>
      <w:r w:rsidRPr="0086522D">
        <w:rPr>
          <w:rFonts w:ascii="Courier New" w:hAnsi="Courier New" w:cs="Courier New"/>
          <w:spacing w:val="-3"/>
          <w:sz w:val="24"/>
          <w:szCs w:val="24"/>
        </w:rPr>
        <w:tab/>
        <w:t>This Proposed Agency Action Order shall become final if no protest is filed within 21 days of the issuance of the Order.</w:t>
      </w:r>
    </w:p>
    <w:sectPr w:rsidR="00DA069A" w:rsidRPr="0086522D" w:rsidSect="00DA069A">
      <w:headerReference w:type="default" r:id="rId8"/>
      <w:footerReference w:type="default" r:id="rId9"/>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9A" w:rsidRDefault="00DA069A">
      <w:pPr>
        <w:spacing w:line="20" w:lineRule="exact"/>
        <w:rPr>
          <w:rFonts w:cstheme="minorBidi"/>
          <w:sz w:val="24"/>
          <w:szCs w:val="24"/>
        </w:rPr>
      </w:pPr>
    </w:p>
  </w:endnote>
  <w:endnote w:type="continuationSeparator" w:id="0">
    <w:p w:rsidR="00DA069A" w:rsidRDefault="00DA069A" w:rsidP="00DA069A">
      <w:r>
        <w:rPr>
          <w:rFonts w:cstheme="minorBidi"/>
          <w:sz w:val="24"/>
          <w:szCs w:val="24"/>
        </w:rPr>
        <w:t xml:space="preserve"> </w:t>
      </w:r>
    </w:p>
  </w:endnote>
  <w:endnote w:type="continuationNotice" w:id="1">
    <w:p w:rsidR="00DA069A" w:rsidRDefault="00DA069A" w:rsidP="00DA069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A" w:rsidRDefault="00DA069A">
    <w:pPr>
      <w:spacing w:before="140" w:line="100" w:lineRule="exact"/>
      <w:rPr>
        <w:rFonts w:cstheme="minorBidi"/>
        <w:sz w:val="10"/>
        <w:szCs w:val="10"/>
      </w:rPr>
    </w:pPr>
  </w:p>
  <w:p w:rsidR="00DA069A" w:rsidRPr="0086522D" w:rsidRDefault="00DA069A">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86522D">
      <w:rPr>
        <w:rFonts w:ascii="Courier New" w:hAnsi="Courier New" w:cs="Courier New"/>
        <w:spacing w:val="-3"/>
        <w:sz w:val="24"/>
        <w:szCs w:val="24"/>
      </w:rPr>
      <w:t>-</w:t>
    </w:r>
    <w:r w:rsidRPr="0086522D">
      <w:rPr>
        <w:rFonts w:ascii="Courier New" w:hAnsi="Courier New" w:cs="Courier New"/>
        <w:spacing w:val="-3"/>
        <w:sz w:val="24"/>
        <w:szCs w:val="24"/>
      </w:rPr>
      <w:fldChar w:fldCharType="begin"/>
    </w:r>
    <w:r w:rsidRPr="0086522D">
      <w:rPr>
        <w:rFonts w:ascii="Courier New" w:hAnsi="Courier New" w:cs="Courier New"/>
        <w:spacing w:val="-3"/>
        <w:sz w:val="24"/>
        <w:szCs w:val="24"/>
      </w:rPr>
      <w:instrText>page \* arabic</w:instrText>
    </w:r>
    <w:r w:rsidRPr="0086522D">
      <w:rPr>
        <w:rFonts w:ascii="Courier New" w:hAnsi="Courier New" w:cs="Courier New"/>
        <w:spacing w:val="-3"/>
        <w:sz w:val="24"/>
        <w:szCs w:val="24"/>
      </w:rPr>
      <w:fldChar w:fldCharType="separate"/>
    </w:r>
    <w:r w:rsidR="0086522D">
      <w:rPr>
        <w:rFonts w:ascii="Courier New" w:hAnsi="Courier New" w:cs="Courier New"/>
        <w:noProof/>
        <w:spacing w:val="-3"/>
        <w:sz w:val="24"/>
        <w:szCs w:val="24"/>
      </w:rPr>
      <w:t>10</w:t>
    </w:r>
    <w:r w:rsidRPr="0086522D">
      <w:rPr>
        <w:rFonts w:ascii="Courier New" w:hAnsi="Courier New" w:cs="Courier New"/>
        <w:spacing w:val="-3"/>
        <w:sz w:val="24"/>
        <w:szCs w:val="24"/>
      </w:rPr>
      <w:fldChar w:fldCharType="end"/>
    </w:r>
    <w:r w:rsidRPr="0086522D">
      <w:rPr>
        <w:rFonts w:ascii="Courier New" w:hAnsi="Courier New" w:cs="Courier New"/>
        <w:spacing w:val="-3"/>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9A" w:rsidRDefault="00DA069A" w:rsidP="00DA069A">
      <w:r>
        <w:rPr>
          <w:rFonts w:cstheme="minorBidi"/>
          <w:sz w:val="24"/>
          <w:szCs w:val="24"/>
        </w:rPr>
        <w:separator/>
      </w:r>
    </w:p>
  </w:footnote>
  <w:footnote w:type="continuationSeparator" w:id="0">
    <w:p w:rsidR="00DA069A" w:rsidRDefault="00DA069A" w:rsidP="00DA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r w:rsidRPr="0086522D">
      <w:rPr>
        <w:rFonts w:ascii="Courier New" w:hAnsi="Courier New" w:cs="Courier New"/>
        <w:b/>
        <w:bCs/>
        <w:spacing w:val="-3"/>
        <w:sz w:val="24"/>
        <w:szCs w:val="24"/>
      </w:rPr>
      <w:t>Docket No. 950001-EI</w:t>
    </w:r>
  </w:p>
  <w:p w:rsidR="00DA069A" w:rsidRPr="0086522D"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sz w:val="24"/>
        <w:szCs w:val="24"/>
      </w:rPr>
    </w:pPr>
    <w:r w:rsidRPr="0086522D">
      <w:rPr>
        <w:rFonts w:ascii="Courier New" w:hAnsi="Courier New" w:cs="Courier New"/>
        <w:b/>
        <w:bCs/>
        <w:spacing w:val="-3"/>
        <w:sz w:val="24"/>
        <w:szCs w:val="24"/>
      </w:rPr>
      <w:t>January 26, 1995</w:t>
    </w:r>
  </w:p>
  <w:p w:rsidR="00DA069A" w:rsidRDefault="00DA069A">
    <w:pPr>
      <w:tabs>
        <w:tab w:val="left" w:pos="-1440"/>
        <w:tab w:val="left" w:pos="-720"/>
        <w:tab w:val="left" w:pos="720"/>
        <w:tab w:val="left" w:pos="1440"/>
        <w:tab w:val="left" w:pos="2160"/>
        <w:tab w:val="left" w:pos="4320"/>
        <w:tab w:val="left" w:pos="5040"/>
      </w:tabs>
      <w:suppressAutoHyphens/>
      <w:spacing w:line="240" w:lineRule="atLeast"/>
      <w:jc w:val="both"/>
      <w:rPr>
        <w:rFonts w:ascii="Palace Script MT" w:hAnsi="Palace Script MT" w:cs="Palace Script MT"/>
        <w:spacing w:val="-3"/>
        <w:sz w:val="24"/>
        <w:szCs w:val="24"/>
      </w:rPr>
    </w:pPr>
  </w:p>
  <w:p w:rsidR="00DA069A" w:rsidRDefault="00DA069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9A"/>
    <w:rsid w:val="0086522D"/>
    <w:rsid w:val="00DA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A069A"/>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A069A"/>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character" w:customStyle="1" w:styleId="FERC">
    <w:name w:val="FERC"/>
    <w:basedOn w:val="DefaultParagraphFont"/>
    <w:uiPriority w:val="99"/>
    <w:rPr>
      <w:rFonts w:ascii="Lucida Sans Typewriter" w:hAnsi="Lucida Sans Typewriter" w:cs="Lucida Sans Typewrit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6522D"/>
    <w:pPr>
      <w:tabs>
        <w:tab w:val="center" w:pos="4680"/>
        <w:tab w:val="right" w:pos="9360"/>
      </w:tabs>
    </w:pPr>
  </w:style>
  <w:style w:type="character" w:customStyle="1" w:styleId="HeaderChar">
    <w:name w:val="Header Char"/>
    <w:basedOn w:val="DefaultParagraphFont"/>
    <w:link w:val="Header"/>
    <w:uiPriority w:val="99"/>
    <w:rsid w:val="0086522D"/>
    <w:rPr>
      <w:rFonts w:ascii="Lucida Sans Typewriter" w:hAnsi="Lucida Sans Typewriter" w:cs="Lucida Sans Typewriter"/>
      <w:sz w:val="20"/>
      <w:szCs w:val="20"/>
    </w:rPr>
  </w:style>
  <w:style w:type="paragraph" w:styleId="Footer">
    <w:name w:val="footer"/>
    <w:basedOn w:val="Normal"/>
    <w:link w:val="FooterChar"/>
    <w:uiPriority w:val="99"/>
    <w:unhideWhenUsed/>
    <w:rsid w:val="0086522D"/>
    <w:pPr>
      <w:tabs>
        <w:tab w:val="center" w:pos="4680"/>
        <w:tab w:val="right" w:pos="9360"/>
      </w:tabs>
    </w:pPr>
  </w:style>
  <w:style w:type="character" w:customStyle="1" w:styleId="FooterChar">
    <w:name w:val="Footer Char"/>
    <w:basedOn w:val="DefaultParagraphFont"/>
    <w:link w:val="Footer"/>
    <w:uiPriority w:val="99"/>
    <w:rsid w:val="0086522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A069A"/>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A069A"/>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character" w:customStyle="1" w:styleId="FERC">
    <w:name w:val="FERC"/>
    <w:basedOn w:val="DefaultParagraphFont"/>
    <w:uiPriority w:val="99"/>
    <w:rPr>
      <w:rFonts w:ascii="Lucida Sans Typewriter" w:hAnsi="Lucida Sans Typewriter" w:cs="Lucida Sans Typewrit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6522D"/>
    <w:pPr>
      <w:tabs>
        <w:tab w:val="center" w:pos="4680"/>
        <w:tab w:val="right" w:pos="9360"/>
      </w:tabs>
    </w:pPr>
  </w:style>
  <w:style w:type="character" w:customStyle="1" w:styleId="HeaderChar">
    <w:name w:val="Header Char"/>
    <w:basedOn w:val="DefaultParagraphFont"/>
    <w:link w:val="Header"/>
    <w:uiPriority w:val="99"/>
    <w:rsid w:val="0086522D"/>
    <w:rPr>
      <w:rFonts w:ascii="Lucida Sans Typewriter" w:hAnsi="Lucida Sans Typewriter" w:cs="Lucida Sans Typewriter"/>
      <w:sz w:val="20"/>
      <w:szCs w:val="20"/>
    </w:rPr>
  </w:style>
  <w:style w:type="paragraph" w:styleId="Footer">
    <w:name w:val="footer"/>
    <w:basedOn w:val="Normal"/>
    <w:link w:val="FooterChar"/>
    <w:uiPriority w:val="99"/>
    <w:unhideWhenUsed/>
    <w:rsid w:val="0086522D"/>
    <w:pPr>
      <w:tabs>
        <w:tab w:val="center" w:pos="4680"/>
        <w:tab w:val="right" w:pos="9360"/>
      </w:tabs>
    </w:pPr>
  </w:style>
  <w:style w:type="character" w:customStyle="1" w:styleId="FooterChar">
    <w:name w:val="Footer Char"/>
    <w:basedOn w:val="DefaultParagraphFont"/>
    <w:link w:val="Footer"/>
    <w:uiPriority w:val="99"/>
    <w:rsid w:val="0086522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TECO/Peabody coal contract buyout</vt:lpstr>
    </vt:vector>
  </TitlesOfParts>
  <Company>Florida Public Service Commission</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2015-08-27T13:46:00Z</dcterms:created>
  <dcterms:modified xsi:type="dcterms:W3CDTF">2015-08-27T13:46:00Z</dcterms:modified>
</cp:coreProperties>
</file>