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254"/>
        <w:gridCol w:w="948"/>
        <w:gridCol w:w="1488"/>
        <w:gridCol w:w="5785"/>
      </w:tblGrid>
      <w:tr w:rsidR="007C0528">
        <w:tc>
          <w:tcPr>
            <w:tcW w:w="2202" w:type="dxa"/>
            <w:gridSpan w:val="2"/>
            <w:tcBorders>
              <w:top w:val="nil"/>
              <w:left w:val="nil"/>
              <w:bottom w:val="single" w:sz="24" w:space="0" w:color="auto"/>
              <w:right w:val="nil"/>
            </w:tcBorders>
            <w:shd w:val="clear" w:color="auto" w:fill="auto"/>
            <w:tcMar>
              <w:top w:w="0" w:type="dxa"/>
              <w:left w:w="0" w:type="dxa"/>
              <w:bottom w:w="0" w:type="dxa"/>
              <w:right w:w="0" w:type="dxa"/>
            </w:tcMar>
          </w:tcPr>
          <w:p w:rsidR="007C0528" w:rsidRDefault="007C0528" w:rsidP="00532DFB">
            <w:pPr>
              <w:pStyle w:val="MastHeadState"/>
            </w:pPr>
            <w:bookmarkStart w:id="0" w:name="_GoBack"/>
            <w:bookmarkEnd w:id="0"/>
            <w:r>
              <w:t>State of Florida</w:t>
            </w:r>
          </w:p>
          <w:p w:rsidR="007C0528" w:rsidRDefault="00072CCA">
            <w:pPr>
              <w:jc w:val="center"/>
            </w:pPr>
            <w:r>
              <w:rPr>
                <w:noProof/>
              </w:rPr>
              <w:drawing>
                <wp:inline distT="0" distB="0" distL="0" distR="0">
                  <wp:extent cx="923925" cy="914400"/>
                  <wp:effectExtent l="0" t="0" r="9525" b="0"/>
                  <wp:docPr id="1" name="Picture 1" descr="psc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c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3925" cy="914400"/>
                          </a:xfrm>
                          <a:prstGeom prst="rect">
                            <a:avLst/>
                          </a:prstGeom>
                          <a:noFill/>
                          <a:ln>
                            <a:noFill/>
                          </a:ln>
                        </pic:spPr>
                      </pic:pic>
                    </a:graphicData>
                  </a:graphic>
                </wp:inline>
              </w:drawing>
            </w:r>
          </w:p>
          <w:p w:rsidR="007C0528" w:rsidRDefault="007C0528"/>
        </w:tc>
        <w:tc>
          <w:tcPr>
            <w:tcW w:w="7273" w:type="dxa"/>
            <w:gridSpan w:val="2"/>
            <w:tcBorders>
              <w:top w:val="nil"/>
              <w:left w:val="nil"/>
              <w:bottom w:val="single" w:sz="24" w:space="0" w:color="auto"/>
              <w:right w:val="nil"/>
            </w:tcBorders>
            <w:shd w:val="clear" w:color="auto" w:fill="auto"/>
            <w:vAlign w:val="bottom"/>
          </w:tcPr>
          <w:p w:rsidR="007C0528" w:rsidRDefault="007C0528">
            <w:pPr>
              <w:pStyle w:val="MastHeadPSC"/>
            </w:pPr>
            <w:r>
              <w:t>Public Service Commission</w:t>
            </w:r>
          </w:p>
          <w:p w:rsidR="007C0528" w:rsidRDefault="007C0528">
            <w:pPr>
              <w:pStyle w:val="MastHeadAddress"/>
            </w:pPr>
            <w:r>
              <w:t>Capital Circle Office Center ● 2540 Shumard Oak Boulevard</w:t>
            </w:r>
            <w:r>
              <w:br/>
              <w:t>Tallahassee, Florida 32399-0850</w:t>
            </w:r>
          </w:p>
          <w:p w:rsidR="007C0528" w:rsidRDefault="007C0528">
            <w:pPr>
              <w:pStyle w:val="MastHeadMemorandum"/>
            </w:pPr>
            <w:r>
              <w:t>-M-E-M-O-R-A-N-D-U-M-</w:t>
            </w:r>
          </w:p>
          <w:p w:rsidR="007C0528" w:rsidRDefault="007C0528">
            <w:pPr>
              <w:pStyle w:val="MemoHeading"/>
            </w:pPr>
          </w:p>
        </w:tc>
      </w:tr>
      <w:tr w:rsidR="007C0528">
        <w:tc>
          <w:tcPr>
            <w:tcW w:w="1254" w:type="dxa"/>
            <w:tcBorders>
              <w:top w:val="single" w:sz="24" w:space="0" w:color="auto"/>
              <w:left w:val="nil"/>
              <w:bottom w:val="nil"/>
              <w:right w:val="nil"/>
            </w:tcBorders>
            <w:shd w:val="clear" w:color="auto" w:fill="auto"/>
            <w:tcMar>
              <w:top w:w="288" w:type="dxa"/>
              <w:bottom w:w="0" w:type="dxa"/>
              <w:right w:w="0" w:type="dxa"/>
            </w:tcMar>
          </w:tcPr>
          <w:p w:rsidR="007C0528" w:rsidRDefault="007C0528" w:rsidP="00506C03">
            <w:pPr>
              <w:pStyle w:val="MemoHeadingLabel"/>
            </w:pPr>
            <w:r>
              <w:t>DATE:</w:t>
            </w:r>
          </w:p>
        </w:tc>
        <w:tc>
          <w:tcPr>
            <w:tcW w:w="8221" w:type="dxa"/>
            <w:gridSpan w:val="3"/>
            <w:tcBorders>
              <w:top w:val="single" w:sz="24" w:space="0" w:color="auto"/>
              <w:left w:val="nil"/>
              <w:bottom w:val="nil"/>
              <w:right w:val="nil"/>
            </w:tcBorders>
            <w:shd w:val="clear" w:color="auto" w:fill="auto"/>
            <w:tcMar>
              <w:bottom w:w="0" w:type="dxa"/>
            </w:tcMar>
          </w:tcPr>
          <w:p w:rsidR="007C0528" w:rsidRDefault="002E29B9">
            <w:pPr>
              <w:pStyle w:val="MemoHeading"/>
            </w:pPr>
            <w:bookmarkStart w:id="1" w:name="FilingDate"/>
            <w:r>
              <w:t>February 19, 2026</w:t>
            </w:r>
            <w:bookmarkEnd w:id="1"/>
          </w:p>
        </w:tc>
      </w:tr>
      <w:tr w:rsidR="007C0528">
        <w:tc>
          <w:tcPr>
            <w:tcW w:w="1254" w:type="dxa"/>
            <w:tcBorders>
              <w:top w:val="nil"/>
              <w:left w:val="nil"/>
              <w:bottom w:val="nil"/>
              <w:right w:val="nil"/>
            </w:tcBorders>
            <w:shd w:val="clear" w:color="auto" w:fill="auto"/>
            <w:tcMar>
              <w:top w:w="288" w:type="dxa"/>
              <w:bottom w:w="0" w:type="dxa"/>
              <w:right w:w="0" w:type="dxa"/>
            </w:tcMar>
          </w:tcPr>
          <w:p w:rsidR="007C0528" w:rsidRDefault="007C0528" w:rsidP="00506C03">
            <w:pPr>
              <w:pStyle w:val="MemoHeadingLabel"/>
            </w:pPr>
            <w:r>
              <w:t>TO:</w:t>
            </w:r>
          </w:p>
        </w:tc>
        <w:tc>
          <w:tcPr>
            <w:tcW w:w="8221" w:type="dxa"/>
            <w:gridSpan w:val="3"/>
            <w:tcBorders>
              <w:top w:val="nil"/>
              <w:left w:val="nil"/>
              <w:bottom w:val="nil"/>
              <w:right w:val="nil"/>
            </w:tcBorders>
            <w:shd w:val="clear" w:color="auto" w:fill="auto"/>
            <w:tcMar>
              <w:top w:w="288" w:type="dxa"/>
              <w:bottom w:w="0" w:type="dxa"/>
            </w:tcMar>
          </w:tcPr>
          <w:p w:rsidR="007C0528" w:rsidRDefault="007C0528" w:rsidP="0093658B">
            <w:pPr>
              <w:pStyle w:val="MemoHeading"/>
            </w:pPr>
            <w:r>
              <w:t>Office of Commission Clerk (</w:t>
            </w:r>
            <w:r w:rsidR="004E69B5">
              <w:t>Teitzman</w:t>
            </w:r>
            <w:r>
              <w:t>)</w:t>
            </w:r>
          </w:p>
        </w:tc>
      </w:tr>
      <w:tr w:rsidR="007C0528">
        <w:tc>
          <w:tcPr>
            <w:tcW w:w="1254" w:type="dxa"/>
            <w:tcBorders>
              <w:top w:val="nil"/>
              <w:left w:val="nil"/>
              <w:bottom w:val="nil"/>
              <w:right w:val="nil"/>
            </w:tcBorders>
            <w:shd w:val="clear" w:color="auto" w:fill="auto"/>
            <w:tcMar>
              <w:top w:w="288" w:type="dxa"/>
              <w:right w:w="0" w:type="dxa"/>
            </w:tcMar>
          </w:tcPr>
          <w:p w:rsidR="007C0528" w:rsidRDefault="007C0528" w:rsidP="00506C03">
            <w:pPr>
              <w:pStyle w:val="MemoHeadingLabel"/>
            </w:pPr>
            <w:r>
              <w:t>FROM:</w:t>
            </w:r>
          </w:p>
        </w:tc>
        <w:tc>
          <w:tcPr>
            <w:tcW w:w="8221" w:type="dxa"/>
            <w:gridSpan w:val="3"/>
            <w:tcBorders>
              <w:top w:val="nil"/>
              <w:left w:val="nil"/>
              <w:bottom w:val="nil"/>
              <w:right w:val="nil"/>
            </w:tcBorders>
            <w:shd w:val="clear" w:color="auto" w:fill="auto"/>
            <w:tcMar>
              <w:top w:w="288" w:type="dxa"/>
              <w:bottom w:w="0" w:type="dxa"/>
            </w:tcMar>
          </w:tcPr>
          <w:p w:rsidR="002E29B9" w:rsidRDefault="002E29B9">
            <w:pPr>
              <w:pStyle w:val="MemoHeading"/>
            </w:pPr>
            <w:bookmarkStart w:id="2" w:name="From"/>
            <w:r>
              <w:t>Division of Economics (Guffey)</w:t>
            </w:r>
          </w:p>
          <w:p w:rsidR="007C0528" w:rsidRDefault="002E29B9">
            <w:pPr>
              <w:pStyle w:val="MemoHeading"/>
            </w:pPr>
            <w:r>
              <w:t>Office of the General Counsel (Brownless)</w:t>
            </w:r>
            <w:bookmarkEnd w:id="2"/>
          </w:p>
        </w:tc>
      </w:tr>
      <w:tr w:rsidR="007C0528">
        <w:tc>
          <w:tcPr>
            <w:tcW w:w="1254" w:type="dxa"/>
            <w:tcBorders>
              <w:top w:val="nil"/>
              <w:left w:val="nil"/>
              <w:bottom w:val="nil"/>
              <w:right w:val="nil"/>
            </w:tcBorders>
            <w:shd w:val="clear" w:color="auto" w:fill="auto"/>
            <w:tcMar>
              <w:top w:w="288" w:type="dxa"/>
              <w:right w:w="0" w:type="dxa"/>
            </w:tcMar>
          </w:tcPr>
          <w:p w:rsidR="007C0528" w:rsidRDefault="007C0528" w:rsidP="00506C03">
            <w:pPr>
              <w:pStyle w:val="MemoHeadingLabel"/>
            </w:pPr>
            <w:r>
              <w:t>RE:</w:t>
            </w:r>
          </w:p>
        </w:tc>
        <w:tc>
          <w:tcPr>
            <w:tcW w:w="8221" w:type="dxa"/>
            <w:gridSpan w:val="3"/>
            <w:tcBorders>
              <w:top w:val="nil"/>
              <w:left w:val="nil"/>
              <w:bottom w:val="nil"/>
              <w:right w:val="nil"/>
            </w:tcBorders>
            <w:shd w:val="clear" w:color="auto" w:fill="auto"/>
            <w:tcMar>
              <w:top w:w="288" w:type="dxa"/>
            </w:tcMar>
          </w:tcPr>
          <w:p w:rsidR="007C0528" w:rsidRDefault="002E29B9">
            <w:pPr>
              <w:pStyle w:val="MemoHeadingRe"/>
            </w:pPr>
            <w:bookmarkStart w:id="3" w:name="Re"/>
            <w:r>
              <w:t>Docket No. 20250139-EI – Petition for approval of tariffs to implement base rate increase consistent with settlement agreement approved by Order No. PSC-2025-0287-AS-EI, by Florida Public Utilities Company.</w:t>
            </w:r>
            <w:bookmarkEnd w:id="3"/>
          </w:p>
        </w:tc>
      </w:tr>
      <w:tr w:rsidR="007C0528">
        <w:tc>
          <w:tcPr>
            <w:tcW w:w="1254" w:type="dxa"/>
            <w:tcBorders>
              <w:top w:val="nil"/>
              <w:left w:val="nil"/>
              <w:bottom w:val="nil"/>
              <w:right w:val="nil"/>
            </w:tcBorders>
            <w:shd w:val="clear" w:color="auto" w:fill="auto"/>
            <w:tcMar>
              <w:top w:w="288" w:type="dxa"/>
              <w:bottom w:w="0" w:type="dxa"/>
              <w:right w:w="0" w:type="dxa"/>
            </w:tcMar>
          </w:tcPr>
          <w:p w:rsidR="007C0528" w:rsidRDefault="007C0528" w:rsidP="00506C03">
            <w:pPr>
              <w:pStyle w:val="MemoHeadingLabel"/>
            </w:pPr>
            <w:r>
              <w:t>AGENDA:</w:t>
            </w:r>
          </w:p>
        </w:tc>
        <w:tc>
          <w:tcPr>
            <w:tcW w:w="8221" w:type="dxa"/>
            <w:gridSpan w:val="3"/>
            <w:tcBorders>
              <w:top w:val="nil"/>
              <w:left w:val="nil"/>
              <w:bottom w:val="nil"/>
              <w:right w:val="nil"/>
            </w:tcBorders>
            <w:shd w:val="clear" w:color="auto" w:fill="auto"/>
            <w:tcMar>
              <w:top w:w="288" w:type="dxa"/>
            </w:tcMar>
          </w:tcPr>
          <w:p w:rsidR="007C0528" w:rsidRDefault="002E29B9">
            <w:pPr>
              <w:pStyle w:val="MemoHeading"/>
            </w:pPr>
            <w:bookmarkStart w:id="4" w:name="AgendaDate"/>
            <w:r>
              <w:t>03/03/26</w:t>
            </w:r>
            <w:bookmarkEnd w:id="4"/>
            <w:r w:rsidR="007C0528">
              <w:t xml:space="preserve"> – </w:t>
            </w:r>
            <w:bookmarkStart w:id="5" w:name="PermittedStatus"/>
            <w:r>
              <w:t>Regular Agenda – Tariff Filing – Interested Persons May Participate</w:t>
            </w:r>
            <w:bookmarkEnd w:id="5"/>
          </w:p>
        </w:tc>
      </w:tr>
      <w:tr w:rsidR="007C0528">
        <w:tc>
          <w:tcPr>
            <w:tcW w:w="3690" w:type="dxa"/>
            <w:gridSpan w:val="3"/>
            <w:tcBorders>
              <w:top w:val="nil"/>
              <w:left w:val="nil"/>
              <w:bottom w:val="nil"/>
              <w:right w:val="nil"/>
            </w:tcBorders>
            <w:shd w:val="clear" w:color="auto" w:fill="auto"/>
            <w:tcMar>
              <w:top w:w="288" w:type="dxa"/>
              <w:bottom w:w="0" w:type="dxa"/>
              <w:right w:w="0" w:type="dxa"/>
            </w:tcMar>
          </w:tcPr>
          <w:p w:rsidR="007C0528" w:rsidRDefault="007C0528" w:rsidP="00506C03">
            <w:pPr>
              <w:pStyle w:val="MemoHeadingLabel"/>
            </w:pPr>
            <w:r>
              <w:t>COMMISSIONERS ASSIGNED:</w:t>
            </w:r>
          </w:p>
        </w:tc>
        <w:tc>
          <w:tcPr>
            <w:tcW w:w="5785" w:type="dxa"/>
            <w:tcBorders>
              <w:top w:val="nil"/>
              <w:left w:val="nil"/>
              <w:bottom w:val="nil"/>
              <w:right w:val="nil"/>
            </w:tcBorders>
            <w:shd w:val="clear" w:color="auto" w:fill="auto"/>
          </w:tcPr>
          <w:p w:rsidR="007C0528" w:rsidRDefault="002E29B9">
            <w:pPr>
              <w:pStyle w:val="MemoHeading"/>
            </w:pPr>
            <w:bookmarkStart w:id="6" w:name="CommissionersAssigned"/>
            <w:r>
              <w:t>All Commissioners</w:t>
            </w:r>
            <w:bookmarkEnd w:id="6"/>
          </w:p>
        </w:tc>
      </w:tr>
      <w:tr w:rsidR="007C0528">
        <w:tc>
          <w:tcPr>
            <w:tcW w:w="3690" w:type="dxa"/>
            <w:gridSpan w:val="3"/>
            <w:tcBorders>
              <w:top w:val="nil"/>
              <w:left w:val="nil"/>
              <w:bottom w:val="nil"/>
              <w:right w:val="nil"/>
            </w:tcBorders>
            <w:shd w:val="clear" w:color="auto" w:fill="auto"/>
            <w:tcMar>
              <w:top w:w="288" w:type="dxa"/>
              <w:bottom w:w="0" w:type="dxa"/>
              <w:right w:w="0" w:type="dxa"/>
            </w:tcMar>
          </w:tcPr>
          <w:p w:rsidR="007C0528" w:rsidRDefault="007C0528" w:rsidP="00506C03">
            <w:pPr>
              <w:pStyle w:val="MemoHeadingLabel"/>
            </w:pPr>
            <w:r>
              <w:t>PREHEARING OFFICER:</w:t>
            </w:r>
          </w:p>
        </w:tc>
        <w:tc>
          <w:tcPr>
            <w:tcW w:w="5785" w:type="dxa"/>
            <w:tcBorders>
              <w:top w:val="nil"/>
              <w:left w:val="nil"/>
              <w:bottom w:val="nil"/>
              <w:right w:val="nil"/>
            </w:tcBorders>
            <w:shd w:val="clear" w:color="auto" w:fill="auto"/>
          </w:tcPr>
          <w:p w:rsidR="007C0528" w:rsidRDefault="002E29B9">
            <w:pPr>
              <w:pStyle w:val="MemoHeading"/>
            </w:pPr>
            <w:bookmarkStart w:id="7" w:name="PrehearingOfficer"/>
            <w:r>
              <w:t>Administrative</w:t>
            </w:r>
            <w:bookmarkEnd w:id="7"/>
          </w:p>
        </w:tc>
      </w:tr>
      <w:tr w:rsidR="007C0528" w:rsidTr="0093658B">
        <w:tc>
          <w:tcPr>
            <w:tcW w:w="3690" w:type="dxa"/>
            <w:gridSpan w:val="3"/>
            <w:tcBorders>
              <w:top w:val="nil"/>
              <w:left w:val="nil"/>
              <w:bottom w:val="nil"/>
              <w:right w:val="nil"/>
            </w:tcBorders>
            <w:shd w:val="clear" w:color="auto" w:fill="auto"/>
            <w:tcMar>
              <w:top w:w="288" w:type="dxa"/>
              <w:bottom w:w="0" w:type="dxa"/>
              <w:right w:w="0" w:type="dxa"/>
            </w:tcMar>
          </w:tcPr>
          <w:p w:rsidR="007C0528" w:rsidRDefault="007C0528" w:rsidP="00506C03">
            <w:pPr>
              <w:pStyle w:val="MemoHeadingLabel"/>
            </w:pPr>
            <w:bookmarkStart w:id="8" w:name="CriticalDatesLabel"/>
            <w:r>
              <w:t>CRITICAL DATES:</w:t>
            </w:r>
            <w:bookmarkEnd w:id="8"/>
          </w:p>
        </w:tc>
        <w:tc>
          <w:tcPr>
            <w:tcW w:w="5785" w:type="dxa"/>
            <w:tcBorders>
              <w:top w:val="nil"/>
              <w:left w:val="nil"/>
              <w:bottom w:val="nil"/>
              <w:right w:val="nil"/>
            </w:tcBorders>
            <w:shd w:val="clear" w:color="auto" w:fill="auto"/>
          </w:tcPr>
          <w:p w:rsidR="007C0528" w:rsidRDefault="002E29B9">
            <w:pPr>
              <w:pStyle w:val="MemoHeading"/>
            </w:pPr>
            <w:bookmarkStart w:id="9" w:name="CriticalDates"/>
            <w:r>
              <w:t>07/17/26 (8-Month Effective Date)</w:t>
            </w:r>
            <w:bookmarkEnd w:id="9"/>
          </w:p>
        </w:tc>
      </w:tr>
      <w:tr w:rsidR="007C0528" w:rsidTr="0093658B">
        <w:tc>
          <w:tcPr>
            <w:tcW w:w="3690" w:type="dxa"/>
            <w:gridSpan w:val="3"/>
            <w:tcBorders>
              <w:top w:val="nil"/>
              <w:left w:val="nil"/>
              <w:bottom w:val="single" w:sz="24" w:space="0" w:color="auto"/>
              <w:right w:val="nil"/>
            </w:tcBorders>
            <w:shd w:val="clear" w:color="auto" w:fill="auto"/>
            <w:tcMar>
              <w:top w:w="288" w:type="dxa"/>
              <w:bottom w:w="216" w:type="dxa"/>
              <w:right w:w="0" w:type="dxa"/>
            </w:tcMar>
          </w:tcPr>
          <w:p w:rsidR="007C0528" w:rsidRDefault="007C0528" w:rsidP="00506C03">
            <w:pPr>
              <w:pStyle w:val="MemoHeadingLabel"/>
            </w:pPr>
            <w:r>
              <w:t>SPECIAL INSTRUCTIONS:</w:t>
            </w:r>
          </w:p>
        </w:tc>
        <w:tc>
          <w:tcPr>
            <w:tcW w:w="5785" w:type="dxa"/>
            <w:tcBorders>
              <w:top w:val="nil"/>
              <w:left w:val="nil"/>
              <w:bottom w:val="single" w:sz="24" w:space="0" w:color="auto"/>
              <w:right w:val="nil"/>
            </w:tcBorders>
            <w:shd w:val="clear" w:color="auto" w:fill="auto"/>
            <w:tcMar>
              <w:bottom w:w="216" w:type="dxa"/>
            </w:tcMar>
          </w:tcPr>
          <w:p w:rsidR="007C0528" w:rsidRDefault="002E29B9">
            <w:pPr>
              <w:pStyle w:val="MemoHeading"/>
            </w:pPr>
            <w:bookmarkStart w:id="10" w:name="SpecialInstructions"/>
            <w:r>
              <w:t>None</w:t>
            </w:r>
            <w:bookmarkEnd w:id="10"/>
          </w:p>
        </w:tc>
      </w:tr>
    </w:tbl>
    <w:p w:rsidR="007C0528" w:rsidRDefault="007C0528">
      <w:pPr>
        <w:pStyle w:val="BodyText"/>
      </w:pPr>
    </w:p>
    <w:p w:rsidR="007C0528" w:rsidRDefault="007C0528">
      <w:pPr>
        <w:pStyle w:val="RecommendationMajorSectionHeading"/>
      </w:pPr>
      <w:bookmarkStart w:id="11" w:name="RecToC"/>
      <w:bookmarkEnd w:id="11"/>
      <w:r>
        <w:t xml:space="preserve"> </w:t>
      </w:r>
      <w:bookmarkStart w:id="12" w:name="CaseBackground"/>
      <w:r>
        <w:t>Case Background</w:t>
      </w:r>
      <w:r>
        <w:fldChar w:fldCharType="begin"/>
      </w:r>
      <w:r>
        <w:instrText xml:space="preserve"> TC  "</w:instrText>
      </w:r>
      <w:r>
        <w:tab/>
      </w:r>
      <w:bookmarkStart w:id="13" w:name="_Toc94516455"/>
      <w:r>
        <w:instrText>Case Background</w:instrText>
      </w:r>
      <w:bookmarkEnd w:id="13"/>
      <w:r>
        <w:instrText xml:space="preserve">" \l 1 </w:instrText>
      </w:r>
      <w:r>
        <w:fldChar w:fldCharType="end"/>
      </w:r>
    </w:p>
    <w:p w:rsidR="00F17A5D" w:rsidRDefault="00F17A5D" w:rsidP="00F17A5D">
      <w:pPr>
        <w:pStyle w:val="BodyText"/>
      </w:pPr>
      <w:r>
        <w:t>By Order No. PSC-2025-0287-AS-EI</w:t>
      </w:r>
      <w:r w:rsidR="00197478">
        <w:t xml:space="preserve"> (2025 Settlement Order)</w:t>
      </w:r>
      <w:r>
        <w:t xml:space="preserve">, the Commission approved Florida Public Utilities Company’s (FPUC or Company) Stipulation and Settlement, a unanimous settlement which resolved all of the issues in FPUC’s </w:t>
      </w:r>
      <w:r w:rsidR="00F629F0">
        <w:t>2025</w:t>
      </w:r>
      <w:r>
        <w:t xml:space="preserve"> rate case (2025 Settlement).</w:t>
      </w:r>
      <w:r>
        <w:rPr>
          <w:rStyle w:val="FootnoteReference"/>
        </w:rPr>
        <w:footnoteReference w:id="1"/>
      </w:r>
      <w:r>
        <w:t xml:space="preserve"> Paragraph III, Revenue Requirement, sections a. and b. of the 2025 Settlement divide</w:t>
      </w:r>
      <w:r w:rsidR="00277600">
        <w:t>d</w:t>
      </w:r>
      <w:r>
        <w:t xml:space="preserve"> the base rate increase into two parts: a $7.4 million increase effective March 20, 2025</w:t>
      </w:r>
      <w:r w:rsidR="00277600">
        <w:t>,</w:t>
      </w:r>
      <w:r>
        <w:t xml:space="preserve"> to March 19, 2026, and the final $8.4 million increase starting March 20, 2026, with a minimum term ending </w:t>
      </w:r>
      <w:r w:rsidR="0078296C">
        <w:t xml:space="preserve">in </w:t>
      </w:r>
      <w:r>
        <w:t>September 20, 2028.</w:t>
      </w:r>
    </w:p>
    <w:p w:rsidR="00F17A5D" w:rsidRDefault="00F17A5D" w:rsidP="00F17A5D">
      <w:pPr>
        <w:jc w:val="both"/>
      </w:pPr>
      <w:r>
        <w:t xml:space="preserve">In addition to the base </w:t>
      </w:r>
      <w:r w:rsidR="0078296C">
        <w:t>rate</w:t>
      </w:r>
      <w:r>
        <w:t xml:space="preserve"> increase, the 2025 Settlement include</w:t>
      </w:r>
      <w:r w:rsidR="00277600">
        <w:t>d</w:t>
      </w:r>
      <w:r>
        <w:t xml:space="preserve"> an increase in miscellaneous </w:t>
      </w:r>
      <w:r w:rsidR="0078296C">
        <w:t xml:space="preserve">fees and charges </w:t>
      </w:r>
      <w:r>
        <w:t>of $164,495 effective March 20, 2025.  Also, the deferred $1 million w</w:t>
      </w:r>
      <w:r w:rsidR="003D0DD0">
        <w:t>ould</w:t>
      </w:r>
      <w:r>
        <w:t xml:space="preserve"> be </w:t>
      </w:r>
      <w:r>
        <w:lastRenderedPageBreak/>
        <w:t>collected over a three-year period through a</w:t>
      </w:r>
      <w:r w:rsidR="00E41AC7">
        <w:t xml:space="preserve"> one</w:t>
      </w:r>
      <w:r w:rsidR="003D0DD0">
        <w:t>-</w:t>
      </w:r>
      <w:r w:rsidR="00E41AC7">
        <w:t>time</w:t>
      </w:r>
      <w:r>
        <w:t xml:space="preserve"> increase subject to an offset of the difference between the </w:t>
      </w:r>
      <w:r w:rsidR="00464E50">
        <w:t xml:space="preserve">proposed Agency </w:t>
      </w:r>
      <w:r w:rsidR="00197478">
        <w:t>A</w:t>
      </w:r>
      <w:r w:rsidR="00464E50">
        <w:t>ction (</w:t>
      </w:r>
      <w:r>
        <w:t>PAA</w:t>
      </w:r>
      <w:r w:rsidR="00464E50">
        <w:t>)</w:t>
      </w:r>
      <w:r>
        <w:t xml:space="preserve"> rates collected from March 20, 2025, until July 2, 2025.</w:t>
      </w:r>
      <w:r w:rsidR="0097491C">
        <w:t xml:space="preserve"> The</w:t>
      </w:r>
      <w:r w:rsidR="00990A6F">
        <w:t xml:space="preserve"> base rate</w:t>
      </w:r>
      <w:r w:rsidR="0097491C">
        <w:t xml:space="preserve"> increase initially approved </w:t>
      </w:r>
      <w:r w:rsidR="00DD2FC6">
        <w:t>in</w:t>
      </w:r>
      <w:r w:rsidR="0097491C">
        <w:t xml:space="preserve"> Order</w:t>
      </w:r>
      <w:r w:rsidR="00DD2FC6">
        <w:t xml:space="preserve"> No. PSC-2025-0114-PAA-EI (PAA Order)</w:t>
      </w:r>
      <w:r w:rsidR="00DD2FC6">
        <w:rPr>
          <w:rStyle w:val="FootnoteReference"/>
        </w:rPr>
        <w:footnoteReference w:id="2"/>
      </w:r>
      <w:r w:rsidR="0097491C">
        <w:t xml:space="preserve"> was higher than the annual increase contained in the </w:t>
      </w:r>
      <w:r w:rsidR="00990A6F">
        <w:t xml:space="preserve">subsequent </w:t>
      </w:r>
      <w:r w:rsidR="00DD2FC6">
        <w:t>2025 S</w:t>
      </w:r>
      <w:r w:rsidR="0097491C">
        <w:t>ettlement.</w:t>
      </w:r>
      <w:r w:rsidR="00990A6F">
        <w:t xml:space="preserve"> A request for </w:t>
      </w:r>
      <w:r w:rsidR="00D36C36">
        <w:t xml:space="preserve">a </w:t>
      </w:r>
      <w:r w:rsidR="00990A6F">
        <w:t>hearing on the PAA Order was filed by the p</w:t>
      </w:r>
      <w:r w:rsidR="00D5694A">
        <w:t>arties to the rate case docket</w:t>
      </w:r>
      <w:r w:rsidR="00990A6F">
        <w:t xml:space="preserve"> who subsequently reached the 2025 Settlement.</w:t>
      </w:r>
    </w:p>
    <w:p w:rsidR="00F17A5D" w:rsidRDefault="00F17A5D" w:rsidP="00F17A5D">
      <w:pPr>
        <w:jc w:val="both"/>
      </w:pPr>
    </w:p>
    <w:p w:rsidR="00F17A5D" w:rsidRDefault="00F17A5D" w:rsidP="00F17A5D">
      <w:pPr>
        <w:jc w:val="both"/>
      </w:pPr>
      <w:r>
        <w:t>Paragraph XV, New Rates, of the 2025 Settlement provides for FPUC to file revised tariffs reflecting the subseq</w:t>
      </w:r>
      <w:r w:rsidR="00277600">
        <w:t>uent years’ revenue requirement</w:t>
      </w:r>
      <w:r>
        <w:t xml:space="preserve">, to be effective on March 20, 2026. Accordingly, on November 17, 2025, FPUC filed a petition seeking approval to implement a base rate increase consistent with the 2025 Settlement </w:t>
      </w:r>
      <w:r w:rsidR="00277600">
        <w:t xml:space="preserve">to be </w:t>
      </w:r>
      <w:r>
        <w:t>effective on March 20, 2026.</w:t>
      </w:r>
    </w:p>
    <w:p w:rsidR="00F17A5D" w:rsidRDefault="00F17A5D" w:rsidP="00F17A5D">
      <w:pPr>
        <w:jc w:val="both"/>
      </w:pPr>
    </w:p>
    <w:p w:rsidR="0068481F" w:rsidRDefault="00F17A5D" w:rsidP="000D1466">
      <w:pPr>
        <w:jc w:val="both"/>
      </w:pPr>
      <w:r>
        <w:t xml:space="preserve">During the analysis to date, staff issued its first data request to FPUC on December 1, 2025, for which the responses were received on December 15, 2025. By Order No. </w:t>
      </w:r>
      <w:r w:rsidR="000D1466">
        <w:t xml:space="preserve">PSC-2026-0020-PCO-EI, </w:t>
      </w:r>
      <w:r>
        <w:t>the Commission suspended the revised tariffs.</w:t>
      </w:r>
      <w:r w:rsidR="000D1466">
        <w:rPr>
          <w:rStyle w:val="FootnoteReference"/>
        </w:rPr>
        <w:footnoteReference w:id="3"/>
      </w:r>
      <w:r>
        <w:t xml:space="preserve"> The Commission has jurisdiction over this matter pursuant to Sections 366.04, 366.05, and 366.06, Florida Statutes (F.S.).</w:t>
      </w:r>
    </w:p>
    <w:p w:rsidR="007C0528" w:rsidRDefault="007C0528" w:rsidP="0068481F"/>
    <w:bookmarkEnd w:id="12"/>
    <w:p w:rsidR="00EA2273" w:rsidRDefault="00EA2273">
      <w:pPr>
        <w:pStyle w:val="RecommendationMajorSectionHeading"/>
        <w:sectPr w:rsidR="00EA2273">
          <w:headerReference w:type="even" r:id="rId9"/>
          <w:headerReference w:type="default" r:id="rId10"/>
          <w:footerReference w:type="even" r:id="rId11"/>
          <w:footerReference w:type="default" r:id="rId12"/>
          <w:headerReference w:type="first" r:id="rId13"/>
          <w:footerReference w:type="first" r:id="rId14"/>
          <w:type w:val="continuous"/>
          <w:pgSz w:w="12240" w:h="15840" w:code="1"/>
          <w:pgMar w:top="1584" w:right="1440" w:bottom="1440" w:left="1440" w:header="720" w:footer="720" w:gutter="0"/>
          <w:cols w:space="720"/>
          <w:formProt w:val="0"/>
          <w:titlePg/>
          <w:docGrid w:linePitch="360"/>
        </w:sectPr>
      </w:pPr>
    </w:p>
    <w:p w:rsidR="007C0528" w:rsidRDefault="007C0528">
      <w:pPr>
        <w:pStyle w:val="RecommendationMajorSectionHeading"/>
      </w:pPr>
      <w:bookmarkStart w:id="16" w:name="DiscussionOfIssues"/>
      <w:r>
        <w:lastRenderedPageBreak/>
        <w:t>Discussion of Issues</w:t>
      </w:r>
    </w:p>
    <w:bookmarkEnd w:id="16"/>
    <w:p w:rsidR="00914087" w:rsidRDefault="00914087">
      <w:pPr>
        <w:pStyle w:val="IssueHeading"/>
        <w:rPr>
          <w:vanish/>
          <w:specVanish/>
        </w:rPr>
      </w:pPr>
      <w:r w:rsidRPr="004C3641">
        <w:t xml:space="preserve">Issue </w:t>
      </w:r>
      <w:fldSimple w:instr=" SEQ Issue \* MERGEFORMAT ">
        <w:r w:rsidR="00C960A5">
          <w:rPr>
            <w:noProof/>
          </w:rPr>
          <w:t>1</w:t>
        </w:r>
      </w:fldSimple>
      <w:r w:rsidRPr="004C3641">
        <w:t>:</w:t>
      </w:r>
      <w:r>
        <w:fldChar w:fldCharType="begin"/>
      </w:r>
      <w:r>
        <w:instrText xml:space="preserve"> TC "</w:instrText>
      </w:r>
      <w:r>
        <w:fldChar w:fldCharType="begin"/>
      </w:r>
      <w:r>
        <w:instrText xml:space="preserve"> SEQ issue \c </w:instrText>
      </w:r>
      <w:r>
        <w:fldChar w:fldCharType="separate"/>
      </w:r>
      <w:r w:rsidR="00C960A5">
        <w:rPr>
          <w:noProof/>
        </w:rPr>
        <w:instrText>1</w:instrText>
      </w:r>
      <w:r>
        <w:fldChar w:fldCharType="end"/>
      </w:r>
      <w:r>
        <w:tab/>
        <w:instrText xml:space="preserve">" \l 1 </w:instrText>
      </w:r>
      <w:r>
        <w:fldChar w:fldCharType="end"/>
      </w:r>
      <w:r>
        <w:t> </w:t>
      </w:r>
    </w:p>
    <w:p w:rsidR="00914087" w:rsidRDefault="00914087">
      <w:pPr>
        <w:pStyle w:val="BodyText"/>
      </w:pPr>
      <w:r>
        <w:t xml:space="preserve"> Should the Commission approve FPUC's revised tariffs to implement </w:t>
      </w:r>
      <w:r w:rsidR="00277600">
        <w:t xml:space="preserve">the </w:t>
      </w:r>
      <w:r>
        <w:t>base rate increase consistent with the</w:t>
      </w:r>
      <w:r w:rsidR="006B169A">
        <w:t xml:space="preserve"> 2025 Settlement </w:t>
      </w:r>
      <w:r>
        <w:t>approved in Order No. PSC-2025-0287-AS-EI?</w:t>
      </w:r>
    </w:p>
    <w:p w:rsidR="00914087" w:rsidRPr="004C3641" w:rsidRDefault="00914087">
      <w:pPr>
        <w:pStyle w:val="IssueSubsectionHeading"/>
        <w:rPr>
          <w:vanish/>
          <w:specVanish/>
        </w:rPr>
      </w:pPr>
      <w:r w:rsidRPr="004C3641">
        <w:t>Recommendation: </w:t>
      </w:r>
    </w:p>
    <w:p w:rsidR="00914087" w:rsidRDefault="00914087">
      <w:pPr>
        <w:pStyle w:val="BodyText"/>
      </w:pPr>
      <w:r>
        <w:t xml:space="preserve"> Yes. The Commission should approve FPUC's revised tariffs to implement </w:t>
      </w:r>
      <w:r w:rsidR="00E41AC7">
        <w:t xml:space="preserve">the </w:t>
      </w:r>
      <w:r>
        <w:t xml:space="preserve">base rate increase consistent with the </w:t>
      </w:r>
      <w:r w:rsidR="006B169A">
        <w:t xml:space="preserve">2025 Settlement </w:t>
      </w:r>
      <w:r>
        <w:t xml:space="preserve">approved in Order No. PSC-2025-0287-AS-EI. </w:t>
      </w:r>
      <w:r w:rsidR="00E41F65">
        <w:t>The revised tariffs</w:t>
      </w:r>
      <w:r w:rsidR="00CE3AED">
        <w:t>, Sheet Nos. 7.001, 7.004, 7.006, 7.008, 7.010, 7.013, 7.014, and 7.016</w:t>
      </w:r>
      <w:r w:rsidR="00E41F65">
        <w:t xml:space="preserve"> </w:t>
      </w:r>
      <w:r w:rsidR="002F5F0D">
        <w:t xml:space="preserve">are </w:t>
      </w:r>
      <w:r w:rsidR="00E41F65">
        <w:t xml:space="preserve">included in Attachment A to this recommendation, </w:t>
      </w:r>
      <w:r w:rsidR="002F5F0D">
        <w:t xml:space="preserve">and </w:t>
      </w:r>
      <w:r w:rsidR="00E41F65">
        <w:t>should be effective on March 20, 2026.</w:t>
      </w:r>
      <w:r w:rsidR="002F5F0D">
        <w:t xml:space="preserve"> </w:t>
      </w:r>
      <w:r>
        <w:t>(Guffey)</w:t>
      </w:r>
    </w:p>
    <w:p w:rsidR="00914087" w:rsidRPr="004C3641" w:rsidRDefault="00914087">
      <w:pPr>
        <w:pStyle w:val="IssueSubsectionHeading"/>
        <w:rPr>
          <w:vanish/>
          <w:specVanish/>
        </w:rPr>
      </w:pPr>
      <w:r w:rsidRPr="004C3641">
        <w:t>Staff Analysis: </w:t>
      </w:r>
    </w:p>
    <w:p w:rsidR="00914087" w:rsidRDefault="00914087">
      <w:pPr>
        <w:pStyle w:val="BodyText"/>
      </w:pPr>
      <w:r>
        <w:t> </w:t>
      </w:r>
      <w:r w:rsidR="002F56F9">
        <w:t xml:space="preserve">The 2025 Settlement </w:t>
      </w:r>
      <w:r w:rsidR="007C2928">
        <w:t xml:space="preserve">Order </w:t>
      </w:r>
      <w:r w:rsidR="002F56F9">
        <w:t xml:space="preserve">approved a base revenue increase of $8.4 million. The 2025 Settlement </w:t>
      </w:r>
      <w:r w:rsidR="007C2928">
        <w:t xml:space="preserve">Order </w:t>
      </w:r>
      <w:r w:rsidR="002F56F9">
        <w:t>divide</w:t>
      </w:r>
      <w:r w:rsidR="00E41AC7">
        <w:t>d</w:t>
      </w:r>
      <w:r w:rsidR="002F56F9">
        <w:t xml:space="preserve"> the base rate increase into 2 parts: a $7.4 million increase </w:t>
      </w:r>
      <w:r w:rsidR="006B169A">
        <w:t>effective</w:t>
      </w:r>
      <w:r w:rsidR="002F56F9">
        <w:t xml:space="preserve"> March 20, 2025</w:t>
      </w:r>
      <w:r w:rsidR="00277600">
        <w:t>,</w:t>
      </w:r>
      <w:r w:rsidR="002F56F9">
        <w:t xml:space="preserve"> to March 19, 2026</w:t>
      </w:r>
      <w:r w:rsidR="00277600">
        <w:t>,</w:t>
      </w:r>
      <w:r w:rsidR="002F56F9">
        <w:t xml:space="preserve"> and the final $8.4 million increase starting March 20, 2026 with a minimum term ending September 20, 2028.</w:t>
      </w:r>
      <w:r w:rsidR="007C2928">
        <w:rPr>
          <w:rStyle w:val="FootnoteReference"/>
        </w:rPr>
        <w:footnoteReference w:id="4"/>
      </w:r>
      <w:r w:rsidR="007C2928">
        <w:t xml:space="preserve"> </w:t>
      </w:r>
      <w:r w:rsidR="002F56F9">
        <w:t xml:space="preserve"> </w:t>
      </w:r>
    </w:p>
    <w:p w:rsidR="00DC7C34" w:rsidRDefault="00BF28CA">
      <w:pPr>
        <w:pStyle w:val="BodyText"/>
      </w:pPr>
      <w:r>
        <w:t>In this petition, FPUC seeks to collect the deferred $1</w:t>
      </w:r>
      <w:r w:rsidR="00277600">
        <w:t xml:space="preserve"> </w:t>
      </w:r>
      <w:r w:rsidR="007C2928">
        <w:t>million</w:t>
      </w:r>
      <w:r>
        <w:t xml:space="preserve"> base revenue increase and </w:t>
      </w:r>
      <w:r w:rsidR="00FA745B">
        <w:t>1/3 of the difference between the PAA rates collected from March 20, 2025</w:t>
      </w:r>
      <w:r w:rsidR="00277600">
        <w:t>,</w:t>
      </w:r>
      <w:r w:rsidR="00FA745B">
        <w:t xml:space="preserve"> un</w:t>
      </w:r>
      <w:r w:rsidR="007C2928">
        <w:t>til July 2, 2025</w:t>
      </w:r>
      <w:r w:rsidR="00FA745B">
        <w:t>.</w:t>
      </w:r>
      <w:r w:rsidR="00510BA0">
        <w:t xml:space="preserve"> </w:t>
      </w:r>
      <w:r w:rsidR="006B169A">
        <w:t>Consistent with the 2025 Settlement, FPUC calculated the increase in base rates</w:t>
      </w:r>
      <w:r w:rsidR="0097491C">
        <w:t xml:space="preserve"> </w:t>
      </w:r>
      <w:r w:rsidR="00D36C36">
        <w:t xml:space="preserve">to be </w:t>
      </w:r>
      <w:r w:rsidR="0097491C">
        <w:t>effective March 20, 2026</w:t>
      </w:r>
      <w:r w:rsidR="006B169A">
        <w:t xml:space="preserve"> as shown in </w:t>
      </w:r>
      <w:r w:rsidR="00510BA0">
        <w:t>Table 1-1 below</w:t>
      </w:r>
      <w:r w:rsidR="00201F87">
        <w:t>.</w:t>
      </w:r>
    </w:p>
    <w:p w:rsidR="00DC7C34" w:rsidRDefault="00DC7C34" w:rsidP="00DC7C34">
      <w:pPr>
        <w:pStyle w:val="TableNumber"/>
        <w:keepNext/>
      </w:pPr>
      <w:r>
        <w:t xml:space="preserve">Table </w:t>
      </w:r>
      <w:fldSimple w:instr=" SEQ Issue \c ">
        <w:r w:rsidR="00C960A5">
          <w:rPr>
            <w:noProof/>
          </w:rPr>
          <w:t>1</w:t>
        </w:r>
      </w:fldSimple>
      <w:r>
        <w:t>-1</w:t>
      </w:r>
    </w:p>
    <w:p w:rsidR="00DC7C34" w:rsidRDefault="00D558E5" w:rsidP="00DC7C34">
      <w:pPr>
        <w:pStyle w:val="TableTitle"/>
        <w:keepNext/>
      </w:pPr>
      <w:r>
        <w:t xml:space="preserve">Base Rate </w:t>
      </w:r>
      <w:r w:rsidR="007C2928">
        <w:t>I</w:t>
      </w:r>
      <w:r>
        <w:t xml:space="preserve">ncrease </w:t>
      </w:r>
      <w:r w:rsidR="00DC7C34">
        <w:t>Calculation</w:t>
      </w:r>
    </w:p>
    <w:tbl>
      <w:tblPr>
        <w:tblStyle w:val="TableGrid"/>
        <w:tblW w:w="0" w:type="auto"/>
        <w:tblLook w:val="04A0" w:firstRow="1" w:lastRow="0" w:firstColumn="1" w:lastColumn="0" w:noHBand="0" w:noVBand="1"/>
      </w:tblPr>
      <w:tblGrid>
        <w:gridCol w:w="5418"/>
        <w:gridCol w:w="4158"/>
      </w:tblGrid>
      <w:tr w:rsidR="007C2928" w:rsidTr="0072242E">
        <w:tc>
          <w:tcPr>
            <w:tcW w:w="5418" w:type="dxa"/>
          </w:tcPr>
          <w:p w:rsidR="007C2928" w:rsidRDefault="007C2928" w:rsidP="009C1751">
            <w:r>
              <w:t>Base Rate Deferral</w:t>
            </w:r>
          </w:p>
        </w:tc>
        <w:tc>
          <w:tcPr>
            <w:tcW w:w="4158" w:type="dxa"/>
            <w:tcBorders>
              <w:bottom w:val="single" w:sz="4" w:space="0" w:color="auto"/>
            </w:tcBorders>
          </w:tcPr>
          <w:p w:rsidR="007C2928" w:rsidRDefault="007C2928" w:rsidP="0072242E">
            <w:pPr>
              <w:jc w:val="right"/>
            </w:pPr>
            <w:r>
              <w:t>$1,000,000.00</w:t>
            </w:r>
          </w:p>
        </w:tc>
      </w:tr>
      <w:tr w:rsidR="007C2928" w:rsidTr="0072242E">
        <w:tc>
          <w:tcPr>
            <w:tcW w:w="5418" w:type="dxa"/>
          </w:tcPr>
          <w:p w:rsidR="007C2928" w:rsidRDefault="007C2928" w:rsidP="009C1751">
            <w:pPr>
              <w:tabs>
                <w:tab w:val="right" w:pos="5202"/>
              </w:tabs>
            </w:pPr>
            <w:r>
              <w:t>Over Collection (3/20/2025 to 7/2/2025)</w:t>
            </w:r>
          </w:p>
        </w:tc>
        <w:tc>
          <w:tcPr>
            <w:tcW w:w="4158" w:type="dxa"/>
            <w:tcBorders>
              <w:bottom w:val="single" w:sz="4" w:space="0" w:color="auto"/>
            </w:tcBorders>
          </w:tcPr>
          <w:p w:rsidR="007C2928" w:rsidRPr="0072242E" w:rsidRDefault="007C2928" w:rsidP="0072242E">
            <w:pPr>
              <w:jc w:val="right"/>
              <w:rPr>
                <w:u w:val="single"/>
              </w:rPr>
            </w:pPr>
            <w:r w:rsidRPr="0072242E">
              <w:rPr>
                <w:u w:val="single"/>
              </w:rPr>
              <w:t>($624,014.03)</w:t>
            </w:r>
          </w:p>
        </w:tc>
      </w:tr>
      <w:tr w:rsidR="007C2928" w:rsidTr="0072242E">
        <w:tc>
          <w:tcPr>
            <w:tcW w:w="5418" w:type="dxa"/>
          </w:tcPr>
          <w:p w:rsidR="007C2928" w:rsidRPr="009C1751" w:rsidRDefault="007C2928" w:rsidP="009C1751">
            <w:pPr>
              <w:tabs>
                <w:tab w:val="right" w:pos="5202"/>
              </w:tabs>
              <w:rPr>
                <w:i/>
              </w:rPr>
            </w:pPr>
            <w:r>
              <w:t>Net Increase to be Collected Over 3 Years</w:t>
            </w:r>
          </w:p>
        </w:tc>
        <w:tc>
          <w:tcPr>
            <w:tcW w:w="4158" w:type="dxa"/>
            <w:tcBorders>
              <w:top w:val="single" w:sz="4" w:space="0" w:color="auto"/>
            </w:tcBorders>
          </w:tcPr>
          <w:p w:rsidR="007C2928" w:rsidRPr="0072242E" w:rsidRDefault="007C2928" w:rsidP="0072242E">
            <w:pPr>
              <w:jc w:val="right"/>
              <w:rPr>
                <w:u w:val="double"/>
              </w:rPr>
            </w:pPr>
            <w:r w:rsidRPr="0072242E">
              <w:rPr>
                <w:u w:val="double"/>
              </w:rPr>
              <w:t>$375,985.97</w:t>
            </w:r>
          </w:p>
        </w:tc>
      </w:tr>
      <w:tr w:rsidR="007C2928" w:rsidTr="009C1751">
        <w:tc>
          <w:tcPr>
            <w:tcW w:w="5418" w:type="dxa"/>
          </w:tcPr>
          <w:p w:rsidR="007C2928" w:rsidRDefault="0072242E" w:rsidP="009C1751">
            <w:r>
              <w:t xml:space="preserve">1/3 of the </w:t>
            </w:r>
            <w:r w:rsidR="007C2928">
              <w:t>Net Increase to be Collected per Year</w:t>
            </w:r>
          </w:p>
        </w:tc>
        <w:tc>
          <w:tcPr>
            <w:tcW w:w="4158" w:type="dxa"/>
          </w:tcPr>
          <w:p w:rsidR="007C2928" w:rsidRDefault="007C2928" w:rsidP="0072242E">
            <w:pPr>
              <w:jc w:val="right"/>
            </w:pPr>
            <w:r>
              <w:t>$125,328.66</w:t>
            </w:r>
          </w:p>
        </w:tc>
      </w:tr>
      <w:tr w:rsidR="007C2928" w:rsidTr="009C1751">
        <w:tc>
          <w:tcPr>
            <w:tcW w:w="5418" w:type="dxa"/>
          </w:tcPr>
          <w:p w:rsidR="007C2928" w:rsidRPr="009C1751" w:rsidDel="00034943" w:rsidRDefault="007C2928" w:rsidP="009C1751">
            <w:pPr>
              <w:tabs>
                <w:tab w:val="right" w:pos="5202"/>
              </w:tabs>
              <w:rPr>
                <w:i/>
              </w:rPr>
            </w:pPr>
            <w:r>
              <w:t>Base Rate Increase from $7.4M to $8.4M</w:t>
            </w:r>
          </w:p>
        </w:tc>
        <w:tc>
          <w:tcPr>
            <w:tcW w:w="4158" w:type="dxa"/>
          </w:tcPr>
          <w:p w:rsidR="007C2928" w:rsidRDefault="007C2928" w:rsidP="0072242E">
            <w:pPr>
              <w:jc w:val="right"/>
            </w:pPr>
            <w:r>
              <w:t>$</w:t>
            </w:r>
            <w:r w:rsidRPr="0072242E">
              <w:rPr>
                <w:u w:val="single"/>
              </w:rPr>
              <w:t>1,000,000.00</w:t>
            </w:r>
          </w:p>
        </w:tc>
      </w:tr>
      <w:tr w:rsidR="007C2928" w:rsidTr="009C1751">
        <w:tc>
          <w:tcPr>
            <w:tcW w:w="5418" w:type="dxa"/>
          </w:tcPr>
          <w:p w:rsidR="007C2928" w:rsidRDefault="007C2928" w:rsidP="009C1751">
            <w:r>
              <w:t>Total Base Rate Increase</w:t>
            </w:r>
          </w:p>
        </w:tc>
        <w:tc>
          <w:tcPr>
            <w:tcW w:w="4158" w:type="dxa"/>
          </w:tcPr>
          <w:p w:rsidR="007C2928" w:rsidRPr="0072242E" w:rsidRDefault="007C2928" w:rsidP="0072242E">
            <w:pPr>
              <w:jc w:val="right"/>
              <w:rPr>
                <w:u w:val="double"/>
              </w:rPr>
            </w:pPr>
            <w:r w:rsidRPr="0072242E">
              <w:rPr>
                <w:u w:val="double"/>
              </w:rPr>
              <w:t>$1,125,328.66</w:t>
            </w:r>
          </w:p>
        </w:tc>
      </w:tr>
    </w:tbl>
    <w:p w:rsidR="00E06484" w:rsidRDefault="00DC7C34" w:rsidP="00DC7C34">
      <w:pPr>
        <w:pStyle w:val="TableSource"/>
      </w:pPr>
      <w:r>
        <w:t xml:space="preserve">Source: </w:t>
      </w:r>
      <w:r w:rsidR="00384864">
        <w:t xml:space="preserve">FPUC </w:t>
      </w:r>
      <w:r w:rsidR="0027368A">
        <w:t xml:space="preserve">Petition and </w:t>
      </w:r>
      <w:r w:rsidR="00384864">
        <w:t>Response</w:t>
      </w:r>
      <w:r w:rsidR="000E527E">
        <w:t>s</w:t>
      </w:r>
      <w:r w:rsidR="00576F19">
        <w:t xml:space="preserve"> in</w:t>
      </w:r>
      <w:r w:rsidR="00384864">
        <w:t xml:space="preserve"> Staff’s First Data Request</w:t>
      </w:r>
    </w:p>
    <w:p w:rsidR="007C2928" w:rsidRDefault="006B169A" w:rsidP="00E275D8">
      <w:pPr>
        <w:pStyle w:val="BodyText"/>
      </w:pPr>
      <w:r>
        <w:t>The base rates contained in Attachment A will remain in effect until the next rate proceeding. However, the 2025 Settlement provides for a step rate increase when the acquisition</w:t>
      </w:r>
      <w:r w:rsidR="0097491C">
        <w:t xml:space="preserve"> and replacement of substation and transmission assets </w:t>
      </w:r>
      <w:r>
        <w:t>are completed.</w:t>
      </w:r>
      <w:r w:rsidR="003040A8">
        <w:rPr>
          <w:rStyle w:val="FootnoteReference"/>
        </w:rPr>
        <w:footnoteReference w:id="5"/>
      </w:r>
      <w:r w:rsidR="009108D9">
        <w:t xml:space="preserve"> </w:t>
      </w:r>
      <w:r w:rsidR="007C2928">
        <w:t>FPUC</w:t>
      </w:r>
      <w:r w:rsidR="00BC1B38">
        <w:t xml:space="preserve"> states that the additional amount </w:t>
      </w:r>
      <w:r w:rsidR="00160614">
        <w:t xml:space="preserve">shown in Table 1-1 </w:t>
      </w:r>
      <w:r w:rsidR="00BC1B38">
        <w:t>was</w:t>
      </w:r>
      <w:r w:rsidR="00DA2227">
        <w:t xml:space="preserve"> allocated consistent with the rate design</w:t>
      </w:r>
      <w:r w:rsidR="00BC1B38">
        <w:t xml:space="preserve"> approved in the 2025 Settlement</w:t>
      </w:r>
      <w:r w:rsidR="00DA2227">
        <w:t>.</w:t>
      </w:r>
      <w:r w:rsidR="007C2928">
        <w:t xml:space="preserve"> </w:t>
      </w:r>
    </w:p>
    <w:p w:rsidR="00990A6F" w:rsidRDefault="007C2928" w:rsidP="00E275D8">
      <w:pPr>
        <w:pStyle w:val="BodyText"/>
      </w:pPr>
      <w:r>
        <w:t>With the proposed tariff revisions, the base energy charge for residential customers would increase from 2.696 cents</w:t>
      </w:r>
      <w:r w:rsidR="008B11C1">
        <w:t>/kWh</w:t>
      </w:r>
      <w:r>
        <w:t xml:space="preserve"> to 2.867 cents</w:t>
      </w:r>
      <w:r w:rsidR="008B11C1">
        <w:t>/kWh</w:t>
      </w:r>
      <w:r>
        <w:t>. Currently, a residential customer using 1,000 kWh a month pay</w:t>
      </w:r>
      <w:r w:rsidR="00990A6F">
        <w:t>s</w:t>
      </w:r>
      <w:r>
        <w:t xml:space="preserve"> a total of $163.42, including gross receipts tax. With the revised tariffs, a residential customer’s total 1,000 kWh bill would be $165.17 a month</w:t>
      </w:r>
      <w:r w:rsidR="00990A6F">
        <w:t>, an increase of $1.75</w:t>
      </w:r>
      <w:r w:rsidR="00EC75C9">
        <w:t xml:space="preserve"> (</w:t>
      </w:r>
      <w:r w:rsidR="003E5642">
        <w:t>including</w:t>
      </w:r>
      <w:r w:rsidR="00EC75C9">
        <w:t xml:space="preserve"> Gross Receipts Tax)</w:t>
      </w:r>
      <w:r w:rsidR="00020F58">
        <w:t xml:space="preserve">. </w:t>
      </w:r>
    </w:p>
    <w:p w:rsidR="00E73C0D" w:rsidRDefault="008A2AC5" w:rsidP="00E275D8">
      <w:pPr>
        <w:pStyle w:val="BodyText"/>
      </w:pPr>
      <w:r>
        <w:lastRenderedPageBreak/>
        <w:t>Staff notes that t</w:t>
      </w:r>
      <w:r w:rsidR="00020F58">
        <w:t xml:space="preserve">he petition included tariff pages </w:t>
      </w:r>
      <w:r>
        <w:t xml:space="preserve">7.002, 7.003, 7.005, 7.007, 7.009, 7.011, 7.012, 7.015, and 7.017 which did not have </w:t>
      </w:r>
      <w:r w:rsidR="00020F58">
        <w:t>revisions. In response to staff’s first data request No.</w:t>
      </w:r>
      <w:r w:rsidR="00990A6F">
        <w:t xml:space="preserve"> </w:t>
      </w:r>
      <w:r w:rsidR="00020F58">
        <w:t xml:space="preserve">7, the </w:t>
      </w:r>
      <w:r w:rsidR="008A6059">
        <w:t>C</w:t>
      </w:r>
      <w:r w:rsidR="00020F58">
        <w:t xml:space="preserve">ompany </w:t>
      </w:r>
      <w:r>
        <w:t xml:space="preserve">confirmed that revisions to the above </w:t>
      </w:r>
      <w:r w:rsidR="00274E59">
        <w:t xml:space="preserve">listed tariff pages </w:t>
      </w:r>
      <w:r>
        <w:t>are not necessary</w:t>
      </w:r>
      <w:r w:rsidR="00274E59">
        <w:t>. Therefore, staff has not included those tariff pages in Attachment A to th</w:t>
      </w:r>
      <w:r>
        <w:t>is</w:t>
      </w:r>
      <w:r w:rsidR="00274E59">
        <w:t xml:space="preserve"> recommendation as no Commission approval is needed.</w:t>
      </w:r>
      <w:r w:rsidR="00020F58">
        <w:t xml:space="preserve"> </w:t>
      </w:r>
      <w:r w:rsidR="001F1C5C">
        <w:t xml:space="preserve"> </w:t>
      </w:r>
      <w:r w:rsidR="00B5556B">
        <w:t>Attachment A includes the revised tariffs, Sheet Nos. 7.001, 7.004, 7.006, 7.008, 7.010, 7.013, 7.014, and 7.016 which require Commission approval.</w:t>
      </w:r>
    </w:p>
    <w:p w:rsidR="00E73C0D" w:rsidRDefault="00E73C0D" w:rsidP="00E73C0D">
      <w:pPr>
        <w:pStyle w:val="First-LevelSubheading"/>
      </w:pPr>
      <w:r>
        <w:t xml:space="preserve">Conclusion </w:t>
      </w:r>
    </w:p>
    <w:p w:rsidR="00E73C0D" w:rsidRDefault="00143B3C" w:rsidP="00E275D8">
      <w:pPr>
        <w:pStyle w:val="BodyText"/>
      </w:pPr>
      <w:r>
        <w:t>After review of FPUC’s petition, responses to staff’s data request, and the 2025 Settlement, staff concludes that the Company’s proposal is consistent with the 2025 Settlement Order. Therefore, t</w:t>
      </w:r>
      <w:r w:rsidR="00E73C0D">
        <w:t>he Commission should approve FPUC's revised tariff</w:t>
      </w:r>
      <w:r w:rsidR="00B5556B">
        <w:t xml:space="preserve"> Sheet Nos. 7.001, 7.004, 7.006, 7.008, 7.010, 7.013, 7.014, and 7.016 </w:t>
      </w:r>
      <w:r w:rsidR="00E73C0D">
        <w:t xml:space="preserve">to implement </w:t>
      </w:r>
      <w:r w:rsidR="000F13A3">
        <w:t xml:space="preserve">the </w:t>
      </w:r>
      <w:r w:rsidR="00E73C0D">
        <w:t xml:space="preserve">base rate increase consistent with the </w:t>
      </w:r>
      <w:r w:rsidR="00B5556B">
        <w:t>2025 S</w:t>
      </w:r>
      <w:r w:rsidR="00E73C0D">
        <w:t>ettlement approved in Order No. PSC-2025</w:t>
      </w:r>
      <w:r w:rsidR="00B5556B">
        <w:t>-0287-AS-EI. The revised tariff</w:t>
      </w:r>
      <w:r w:rsidR="008A6059">
        <w:t>s</w:t>
      </w:r>
      <w:r w:rsidR="00B5556B">
        <w:t xml:space="preserve"> </w:t>
      </w:r>
      <w:r w:rsidR="00E73C0D">
        <w:t xml:space="preserve">included in Attachment A to this recommendation should be effective on March 20, 2026. </w:t>
      </w:r>
    </w:p>
    <w:p w:rsidR="00E73C0D" w:rsidRDefault="00E73C0D">
      <w:pPr>
        <w:pStyle w:val="IssueHeading"/>
        <w:rPr>
          <w:vanish/>
          <w:specVanish/>
        </w:rPr>
      </w:pPr>
      <w:r w:rsidRPr="004C3641">
        <w:rPr>
          <w:b w:val="0"/>
          <w:i w:val="0"/>
        </w:rPr>
        <w:br w:type="page"/>
      </w:r>
      <w:r w:rsidRPr="004C3641">
        <w:t xml:space="preserve">Issue </w:t>
      </w:r>
      <w:fldSimple w:instr=" SEQ Issue \* MERGEFORMAT ">
        <w:r w:rsidR="00C960A5">
          <w:rPr>
            <w:noProof/>
          </w:rPr>
          <w:t>2</w:t>
        </w:r>
      </w:fldSimple>
      <w:r w:rsidRPr="004C3641">
        <w:t>:</w:t>
      </w:r>
      <w:r>
        <w:fldChar w:fldCharType="begin"/>
      </w:r>
      <w:r>
        <w:instrText xml:space="preserve"> TC "</w:instrText>
      </w:r>
      <w:r>
        <w:fldChar w:fldCharType="begin"/>
      </w:r>
      <w:r>
        <w:instrText xml:space="preserve"> SEQ issue \c </w:instrText>
      </w:r>
      <w:r>
        <w:fldChar w:fldCharType="separate"/>
      </w:r>
      <w:r w:rsidR="00C960A5">
        <w:rPr>
          <w:noProof/>
        </w:rPr>
        <w:instrText>2</w:instrText>
      </w:r>
      <w:r>
        <w:fldChar w:fldCharType="end"/>
      </w:r>
      <w:r>
        <w:tab/>
        <w:instrText xml:space="preserve">(Brownless)" \l 1 </w:instrText>
      </w:r>
      <w:r>
        <w:fldChar w:fldCharType="end"/>
      </w:r>
      <w:r>
        <w:t> </w:t>
      </w:r>
    </w:p>
    <w:p w:rsidR="00E73C0D" w:rsidRDefault="00E73C0D">
      <w:pPr>
        <w:pStyle w:val="BodyText"/>
      </w:pPr>
      <w:r>
        <w:t> Should this docket be closed?</w:t>
      </w:r>
    </w:p>
    <w:p w:rsidR="00E73C0D" w:rsidRPr="004C3641" w:rsidRDefault="00E73C0D">
      <w:pPr>
        <w:pStyle w:val="IssueSubsectionHeading"/>
        <w:rPr>
          <w:vanish/>
          <w:specVanish/>
        </w:rPr>
      </w:pPr>
      <w:r w:rsidRPr="004C3641">
        <w:t>Recommendation: </w:t>
      </w:r>
    </w:p>
    <w:p w:rsidR="00E73C0D" w:rsidRDefault="00E73C0D">
      <w:pPr>
        <w:pStyle w:val="BodyText"/>
      </w:pPr>
      <w:r>
        <w:t> Yes.  If a protest is filed within 21 days of the issuance of the order, the tariffs should remain in effect, with any revenues held subject to refund, pending resolution of the protest.  If no timely protest is filed, this docket should be closed upon the issuance of a consummating order. (Brownless)</w:t>
      </w:r>
    </w:p>
    <w:p w:rsidR="00E73C0D" w:rsidRPr="004C3641" w:rsidRDefault="00E73C0D">
      <w:pPr>
        <w:pStyle w:val="IssueSubsectionHeading"/>
        <w:rPr>
          <w:vanish/>
          <w:specVanish/>
        </w:rPr>
      </w:pPr>
      <w:r w:rsidRPr="004C3641">
        <w:t>Staff Analysis: </w:t>
      </w:r>
    </w:p>
    <w:p w:rsidR="00E73C0D" w:rsidRDefault="00E73C0D">
      <w:pPr>
        <w:pStyle w:val="BodyText"/>
      </w:pPr>
      <w:r>
        <w:t> If a protest is filed within 21 days of the issuance of the order, the tariffs should remain in effect, with any revenues held subject to refund, pending resolution of the protest.  If no timely protest is filed, this docket should be closed upon the issuance of a consummating order.</w:t>
      </w:r>
    </w:p>
    <w:p w:rsidR="00607691" w:rsidRDefault="00607691">
      <w:pPr>
        <w:pStyle w:val="BodyText"/>
      </w:pPr>
    </w:p>
    <w:p w:rsidR="00607691" w:rsidRDefault="00607691">
      <w:pPr>
        <w:pStyle w:val="BodyText"/>
      </w:pPr>
    </w:p>
    <w:p w:rsidR="00607691" w:rsidRDefault="00607691">
      <w:pPr>
        <w:pStyle w:val="BodyText"/>
        <w:sectPr w:rsidR="00607691" w:rsidSect="0068481F">
          <w:headerReference w:type="default" r:id="rId15"/>
          <w:pgSz w:w="12240" w:h="15840" w:code="1"/>
          <w:pgMar w:top="1584" w:right="1440" w:bottom="1440" w:left="1440" w:header="720" w:footer="720" w:gutter="0"/>
          <w:cols w:space="720"/>
          <w:formProt w:val="0"/>
          <w:docGrid w:linePitch="360"/>
        </w:sectPr>
      </w:pPr>
    </w:p>
    <w:p w:rsidR="00E73C0D" w:rsidRDefault="00631437" w:rsidP="00E275D8">
      <w:pPr>
        <w:pStyle w:val="BodyText"/>
      </w:pPr>
      <w:r>
        <w:rPr>
          <w:noProof/>
        </w:rPr>
        <w:drawing>
          <wp:inline distT="0" distB="0" distL="0" distR="0">
            <wp:extent cx="5943600" cy="7691755"/>
            <wp:effectExtent l="0" t="0" r="0" b="444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ttachement A_Tariff_Page_1.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Attachement A_Tariff_Page_2.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Attachement A_Tariff_Page_3.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ttachement A_Tariff_Page_4.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Attachement A_Tariff_Page_5.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Attachement A_Tariff_Page_6.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Attachement A_Tariff_Page_7.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Attachement A_Tariff_Page_8.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sectPr w:rsidR="00E73C0D" w:rsidSect="0068481F">
      <w:headerReference w:type="default" r:id="rId24"/>
      <w:pgSz w:w="12240" w:h="15840" w:code="1"/>
      <w:pgMar w:top="1584" w:right="1440" w:bottom="144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4576" w:rsidRDefault="00204576">
      <w:r>
        <w:separator/>
      </w:r>
    </w:p>
  </w:endnote>
  <w:endnote w:type="continuationSeparator" w:id="0">
    <w:p w:rsidR="00204576" w:rsidRDefault="002045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60A5" w:rsidRDefault="00C960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402E" w:rsidRDefault="00BC402E">
    <w:pPr>
      <w:pStyle w:val="Footer"/>
      <w:tabs>
        <w:tab w:val="clear" w:pos="4320"/>
        <w:tab w:val="clear" w:pos="8640"/>
        <w:tab w:val="center" w:pos="4674"/>
        <w:tab w:val="right" w:pos="9360"/>
      </w:tabs>
    </w:pPr>
    <w:r>
      <w:tab/>
      <w:t xml:space="preserve">- </w:t>
    </w:r>
    <w:r>
      <w:rPr>
        <w:rStyle w:val="PageNumber"/>
      </w:rPr>
      <w:fldChar w:fldCharType="begin"/>
    </w:r>
    <w:r>
      <w:rPr>
        <w:rStyle w:val="PageNumber"/>
      </w:rPr>
      <w:instrText xml:space="preserve"> PAGE </w:instrText>
    </w:r>
    <w:r>
      <w:rPr>
        <w:rStyle w:val="PageNumber"/>
      </w:rPr>
      <w:fldChar w:fldCharType="separate"/>
    </w:r>
    <w:r w:rsidR="00D53246">
      <w:rPr>
        <w:rStyle w:val="PageNumber"/>
        <w:noProof/>
      </w:rPr>
      <w:t>4</w:t>
    </w:r>
    <w:r>
      <w:rPr>
        <w:rStyle w:val="PageNumber"/>
      </w:rPr>
      <w:fldChar w:fldCharType="end"/>
    </w:r>
    <w:r>
      <w:rPr>
        <w:rStyle w:val="PageNumber"/>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60A5" w:rsidRDefault="00C960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4576" w:rsidRDefault="00204576">
      <w:r>
        <w:separator/>
      </w:r>
    </w:p>
  </w:footnote>
  <w:footnote w:type="continuationSeparator" w:id="0">
    <w:p w:rsidR="00204576" w:rsidRDefault="00204576">
      <w:r>
        <w:continuationSeparator/>
      </w:r>
    </w:p>
  </w:footnote>
  <w:footnote w:id="1">
    <w:p w:rsidR="00F17A5D" w:rsidRPr="00AC727E" w:rsidRDefault="00F17A5D" w:rsidP="00F17A5D">
      <w:pPr>
        <w:pStyle w:val="FootnoteText"/>
        <w:rPr>
          <w:i/>
        </w:rPr>
      </w:pPr>
      <w:r>
        <w:rPr>
          <w:rStyle w:val="FootnoteReference"/>
        </w:rPr>
        <w:footnoteRef/>
      </w:r>
      <w:r>
        <w:t xml:space="preserve"> Order No. PSC-2025-0287-AS-EI, issued July 24, 2025 in Docket No. 20240099-EI, </w:t>
      </w:r>
      <w:r w:rsidRPr="00AC727E">
        <w:rPr>
          <w:i/>
        </w:rPr>
        <w:t>In re: Petition for rate increase by Florida Public Utilities Company.</w:t>
      </w:r>
    </w:p>
  </w:footnote>
  <w:footnote w:id="2">
    <w:p w:rsidR="00DD2FC6" w:rsidRDefault="00DD2FC6">
      <w:pPr>
        <w:pStyle w:val="FootnoteText"/>
      </w:pPr>
      <w:r>
        <w:rPr>
          <w:rStyle w:val="FootnoteReference"/>
        </w:rPr>
        <w:footnoteRef/>
      </w:r>
      <w:r>
        <w:t xml:space="preserve"> Order No. PSC-2025-0114-PAA-EI, issued April 7, 2025, in Docket No. 20240099-EI, </w:t>
      </w:r>
      <w:r w:rsidRPr="009108D9">
        <w:rPr>
          <w:i/>
        </w:rPr>
        <w:t>In re: Petition for rate increase by Florida Public Utilities Company.</w:t>
      </w:r>
    </w:p>
  </w:footnote>
  <w:footnote w:id="3">
    <w:p w:rsidR="000D1466" w:rsidRDefault="000D1466" w:rsidP="000D1466">
      <w:pPr>
        <w:pStyle w:val="FootnoteText"/>
      </w:pPr>
      <w:r>
        <w:rPr>
          <w:rStyle w:val="FootnoteReference"/>
        </w:rPr>
        <w:footnoteRef/>
      </w:r>
      <w:r>
        <w:t xml:space="preserve"> Order No. PSC-2026-0020-PCO-EI, issued January 14, 2026, in Docket No. 2025139-EI, </w:t>
      </w:r>
      <w:r w:rsidRPr="006161A8">
        <w:rPr>
          <w:i/>
        </w:rPr>
        <w:t>In re: Petition for approval of tariffs to implement base rate increase consistent with settlement agreement approved by Order No. PSC-2025-0287-AS-EI, by Florida Public Utilities Company.</w:t>
      </w:r>
    </w:p>
  </w:footnote>
  <w:footnote w:id="4">
    <w:p w:rsidR="007C2928" w:rsidRPr="009C1751" w:rsidRDefault="007C2928" w:rsidP="007C2928">
      <w:pPr>
        <w:pStyle w:val="FootnoteText"/>
        <w:rPr>
          <w:i/>
        </w:rPr>
      </w:pPr>
      <w:r>
        <w:rPr>
          <w:rStyle w:val="FootnoteReference"/>
        </w:rPr>
        <w:footnoteRef/>
      </w:r>
      <w:r>
        <w:t xml:space="preserve"> Order No. PSC-2025-0287-AS-EI, pages 2-4.</w:t>
      </w:r>
    </w:p>
  </w:footnote>
  <w:footnote w:id="5">
    <w:p w:rsidR="003040A8" w:rsidRDefault="003040A8">
      <w:pPr>
        <w:pStyle w:val="FootnoteText"/>
      </w:pPr>
      <w:r>
        <w:rPr>
          <w:rStyle w:val="FootnoteReference"/>
        </w:rPr>
        <w:footnoteRef/>
      </w:r>
      <w:r>
        <w:t xml:space="preserve"> Paragraph III.d of the 2025 Settlement.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60A5" w:rsidRDefault="00C960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402E" w:rsidRDefault="002E29B9" w:rsidP="00220732">
    <w:pPr>
      <w:pStyle w:val="Header"/>
      <w:tabs>
        <w:tab w:val="clear" w:pos="4320"/>
        <w:tab w:val="clear" w:pos="8640"/>
        <w:tab w:val="right" w:pos="9360"/>
      </w:tabs>
    </w:pPr>
    <w:bookmarkStart w:id="14" w:name="DocketLabel"/>
    <w:r>
      <w:t>Docket No.</w:t>
    </w:r>
    <w:bookmarkEnd w:id="14"/>
    <w:r w:rsidR="00BC402E">
      <w:t xml:space="preserve"> </w:t>
    </w:r>
    <w:bookmarkStart w:id="15" w:name="DocketList"/>
    <w:r>
      <w:t>20250139-EI</w:t>
    </w:r>
    <w:bookmarkEnd w:id="15"/>
  </w:p>
  <w:p w:rsidR="00BC402E" w:rsidRDefault="00BC402E">
    <w:pPr>
      <w:pStyle w:val="Header"/>
    </w:pPr>
    <w:r>
      <w:t xml:space="preserve">Date: </w:t>
    </w:r>
    <w:fldSimple w:instr=" REF FilingDate ">
      <w:r w:rsidR="00C960A5">
        <w:t>February 19, 2026</w:t>
      </w:r>
    </w:fldSimple>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60A5" w:rsidRDefault="00C960A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37E3" w:rsidRDefault="00607691" w:rsidP="00220732">
    <w:pPr>
      <w:pStyle w:val="Header"/>
      <w:tabs>
        <w:tab w:val="clear" w:pos="4320"/>
        <w:tab w:val="clear" w:pos="8640"/>
        <w:tab w:val="right" w:pos="9360"/>
      </w:tabs>
    </w:pPr>
    <w:r>
      <w:fldChar w:fldCharType="begin"/>
    </w:r>
    <w:r>
      <w:instrText xml:space="preserve"> REF DocketLabel</w:instrText>
    </w:r>
    <w:r>
      <w:fldChar w:fldCharType="separate"/>
    </w:r>
    <w:r w:rsidR="00C960A5">
      <w:t>Docket No.</w:t>
    </w:r>
    <w:r>
      <w:fldChar w:fldCharType="end"/>
    </w:r>
    <w:r>
      <w:t xml:space="preserve"> </w:t>
    </w:r>
    <w:r>
      <w:fldChar w:fldCharType="begin"/>
    </w:r>
    <w:r>
      <w:instrText xml:space="preserve"> REF DocketList</w:instrText>
    </w:r>
    <w:r>
      <w:fldChar w:fldCharType="separate"/>
    </w:r>
    <w:r w:rsidR="00C960A5">
      <w:t>20250139-EI</w:t>
    </w:r>
    <w:r>
      <w:fldChar w:fldCharType="end"/>
    </w:r>
    <w:r>
      <w:tab/>
      <w:t xml:space="preserve">Issue </w:t>
    </w:r>
    <w:r w:rsidR="00BD26F6">
      <w:fldChar w:fldCharType="begin"/>
    </w:r>
    <w:r w:rsidR="00BD26F6">
      <w:instrText xml:space="preserve"> Seq Issue \c \* Arabic </w:instrText>
    </w:r>
    <w:r w:rsidR="00BD26F6">
      <w:fldChar w:fldCharType="separate"/>
    </w:r>
    <w:r w:rsidR="00D53246">
      <w:rPr>
        <w:noProof/>
      </w:rPr>
      <w:t>1</w:t>
    </w:r>
    <w:r w:rsidR="00BD26F6">
      <w:rPr>
        <w:noProof/>
      </w:rPr>
      <w:fldChar w:fldCharType="end"/>
    </w:r>
  </w:p>
  <w:p w:rsidR="004337E3" w:rsidRDefault="004337E3">
    <w:pPr>
      <w:pStyle w:val="Header"/>
    </w:pPr>
    <w:r>
      <w:t xml:space="preserve">Date: </w:t>
    </w:r>
    <w:r w:rsidR="00BD26F6">
      <w:fldChar w:fldCharType="begin"/>
    </w:r>
    <w:r w:rsidR="00BD26F6">
      <w:instrText xml:space="preserve"> REF FilingDate </w:instrText>
    </w:r>
    <w:r w:rsidR="00BD26F6">
      <w:fldChar w:fldCharType="separate"/>
    </w:r>
    <w:r w:rsidR="00C960A5">
      <w:t>February 19, 2026</w:t>
    </w:r>
    <w:r w:rsidR="00BD26F6">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FEC" w:rsidRDefault="00FF1FEC" w:rsidP="00220732">
    <w:pPr>
      <w:pStyle w:val="Header"/>
      <w:tabs>
        <w:tab w:val="clear" w:pos="4320"/>
        <w:tab w:val="clear" w:pos="8640"/>
        <w:tab w:val="right" w:pos="9360"/>
      </w:tabs>
    </w:pPr>
    <w:r>
      <w:fldChar w:fldCharType="begin"/>
    </w:r>
    <w:r>
      <w:instrText xml:space="preserve"> REF DocketLabel</w:instrText>
    </w:r>
    <w:r>
      <w:fldChar w:fldCharType="separate"/>
    </w:r>
    <w:r w:rsidR="00C960A5">
      <w:t>Docket No.</w:t>
    </w:r>
    <w:r>
      <w:fldChar w:fldCharType="end"/>
    </w:r>
    <w:r>
      <w:t xml:space="preserve"> </w:t>
    </w:r>
    <w:r>
      <w:fldChar w:fldCharType="begin"/>
    </w:r>
    <w:r>
      <w:instrText xml:space="preserve"> REF DocketList</w:instrText>
    </w:r>
    <w:r>
      <w:fldChar w:fldCharType="separate"/>
    </w:r>
    <w:r w:rsidR="00C960A5">
      <w:t>20250139-EI</w:t>
    </w:r>
    <w:r>
      <w:fldChar w:fldCharType="end"/>
    </w:r>
    <w:r>
      <w:tab/>
      <w:t>Attachment A</w:t>
    </w:r>
  </w:p>
  <w:p w:rsidR="00FF1FEC" w:rsidRDefault="00FF1FEC">
    <w:pPr>
      <w:pStyle w:val="Header"/>
    </w:pPr>
    <w:r>
      <w:t xml:space="preserve">Date: </w:t>
    </w:r>
    <w:fldSimple w:instr=" REF FilingDate ">
      <w:r w:rsidR="00C960A5">
        <w:t>February 19, 2026</w:t>
      </w:r>
    </w:fldSimple>
    <w:r w:rsidR="007C0590">
      <w:tab/>
    </w:r>
    <w:r w:rsidR="007C0590">
      <w:tab/>
      <w:t xml:space="preserve">                                                             Page </w:t>
    </w:r>
    <w:r w:rsidR="007C0590">
      <w:fldChar w:fldCharType="begin"/>
    </w:r>
    <w:r w:rsidR="007C0590">
      <w:instrText xml:space="preserve">= </w:instrText>
    </w:r>
    <w:r w:rsidR="007C0590">
      <w:fldChar w:fldCharType="begin"/>
    </w:r>
    <w:r w:rsidR="007C0590">
      <w:instrText xml:space="preserve">Page  </w:instrText>
    </w:r>
    <w:r w:rsidR="007C0590">
      <w:fldChar w:fldCharType="separate"/>
    </w:r>
    <w:r w:rsidR="00D53246">
      <w:rPr>
        <w:noProof/>
      </w:rPr>
      <w:instrText>13</w:instrText>
    </w:r>
    <w:r w:rsidR="007C0590">
      <w:fldChar w:fldCharType="end"/>
    </w:r>
    <w:r w:rsidR="007C0590">
      <w:instrText xml:space="preserve">- 5 </w:instrText>
    </w:r>
    <w:r w:rsidR="007C0590">
      <w:fldChar w:fldCharType="separate"/>
    </w:r>
    <w:r w:rsidR="00D53246">
      <w:rPr>
        <w:noProof/>
      </w:rPr>
      <w:t>8</w:t>
    </w:r>
    <w:r w:rsidR="007C0590">
      <w:fldChar w:fldCharType="end"/>
    </w:r>
    <w:r w:rsidR="007C0590">
      <w:t xml:space="preserve"> of </w:t>
    </w:r>
    <w:r w:rsidR="00631437">
      <w:t>8</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EFC6C1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0AA0D9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7762B0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8FE44F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320B4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60CFDA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63058F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5F8770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0D63E3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024AEA4"/>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1"/>
  <w:activeWritingStyle w:appName="MSWord" w:lang="es-MX" w:vendorID="64" w:dllVersion="131078" w:nlCheck="1" w:checkStyle="1"/>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57"/>
  <w:noPunctuationKerning/>
  <w:characterSpacingControl w:val="doNotCompress"/>
  <w:hdrShapeDefaults>
    <o:shapedefaults v:ext="edit" spidmax="51201"/>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32DC39D9-B7F2-4F33-8079-DE13EA01171C}"/>
    <w:docVar w:name="dgnword-eventsink" w:val="337566896"/>
    <w:docVar w:name="NumberOfIssues" w:val="0"/>
    <w:docVar w:name="StaffInToC" w:val="True"/>
  </w:docVars>
  <w:rsids>
    <w:rsidRoot w:val="002E29B9"/>
    <w:rsid w:val="000043D5"/>
    <w:rsid w:val="00006170"/>
    <w:rsid w:val="00010E37"/>
    <w:rsid w:val="000172DA"/>
    <w:rsid w:val="00020F58"/>
    <w:rsid w:val="00022008"/>
    <w:rsid w:val="00022337"/>
    <w:rsid w:val="00023A0E"/>
    <w:rsid w:val="000247C5"/>
    <w:rsid w:val="000277C2"/>
    <w:rsid w:val="00033EBC"/>
    <w:rsid w:val="00035B48"/>
    <w:rsid w:val="00036CE2"/>
    <w:rsid w:val="000437FE"/>
    <w:rsid w:val="000513BE"/>
    <w:rsid w:val="00051573"/>
    <w:rsid w:val="0005451B"/>
    <w:rsid w:val="0006458A"/>
    <w:rsid w:val="00065A06"/>
    <w:rsid w:val="000666F3"/>
    <w:rsid w:val="00066C79"/>
    <w:rsid w:val="00070DCB"/>
    <w:rsid w:val="00072CCA"/>
    <w:rsid w:val="00073120"/>
    <w:rsid w:val="000764D0"/>
    <w:rsid w:val="000828D3"/>
    <w:rsid w:val="00087A0E"/>
    <w:rsid w:val="00090DB4"/>
    <w:rsid w:val="00097804"/>
    <w:rsid w:val="000A2B57"/>
    <w:rsid w:val="000A418B"/>
    <w:rsid w:val="000B0ACE"/>
    <w:rsid w:val="000C3C82"/>
    <w:rsid w:val="000C4431"/>
    <w:rsid w:val="000C5435"/>
    <w:rsid w:val="000C6607"/>
    <w:rsid w:val="000C74E8"/>
    <w:rsid w:val="000D10F8"/>
    <w:rsid w:val="000D1466"/>
    <w:rsid w:val="000D1C06"/>
    <w:rsid w:val="000D3043"/>
    <w:rsid w:val="000D4319"/>
    <w:rsid w:val="000D4831"/>
    <w:rsid w:val="000E24FA"/>
    <w:rsid w:val="000E338A"/>
    <w:rsid w:val="000E4392"/>
    <w:rsid w:val="000E527E"/>
    <w:rsid w:val="000E620E"/>
    <w:rsid w:val="000F13A3"/>
    <w:rsid w:val="000F244D"/>
    <w:rsid w:val="000F374A"/>
    <w:rsid w:val="000F4DAF"/>
    <w:rsid w:val="000F53C1"/>
    <w:rsid w:val="00105BA1"/>
    <w:rsid w:val="001066FE"/>
    <w:rsid w:val="001076AF"/>
    <w:rsid w:val="001109F6"/>
    <w:rsid w:val="00116C6B"/>
    <w:rsid w:val="00117C8C"/>
    <w:rsid w:val="001239F0"/>
    <w:rsid w:val="00124C38"/>
    <w:rsid w:val="00124E2E"/>
    <w:rsid w:val="00125ED4"/>
    <w:rsid w:val="00127E1E"/>
    <w:rsid w:val="001303BF"/>
    <w:rsid w:val="001305E9"/>
    <w:rsid w:val="001307AF"/>
    <w:rsid w:val="0013347E"/>
    <w:rsid w:val="00135687"/>
    <w:rsid w:val="00136BD1"/>
    <w:rsid w:val="00143B3C"/>
    <w:rsid w:val="00146B5D"/>
    <w:rsid w:val="00150ECE"/>
    <w:rsid w:val="0015506E"/>
    <w:rsid w:val="00156EF7"/>
    <w:rsid w:val="00157CCC"/>
    <w:rsid w:val="00160614"/>
    <w:rsid w:val="00163031"/>
    <w:rsid w:val="001638D1"/>
    <w:rsid w:val="001654C4"/>
    <w:rsid w:val="0016701C"/>
    <w:rsid w:val="00171A90"/>
    <w:rsid w:val="00180254"/>
    <w:rsid w:val="00191E1F"/>
    <w:rsid w:val="00191EE8"/>
    <w:rsid w:val="00192943"/>
    <w:rsid w:val="00193BAF"/>
    <w:rsid w:val="00194791"/>
    <w:rsid w:val="00197478"/>
    <w:rsid w:val="00197C6D"/>
    <w:rsid w:val="001A206F"/>
    <w:rsid w:val="001A7406"/>
    <w:rsid w:val="001A7AE4"/>
    <w:rsid w:val="001B1EDC"/>
    <w:rsid w:val="001B4053"/>
    <w:rsid w:val="001B4FEE"/>
    <w:rsid w:val="001B51C5"/>
    <w:rsid w:val="001B672A"/>
    <w:rsid w:val="001B6F3F"/>
    <w:rsid w:val="001C13F4"/>
    <w:rsid w:val="001C52B5"/>
    <w:rsid w:val="001D0D3E"/>
    <w:rsid w:val="001D2817"/>
    <w:rsid w:val="001D2899"/>
    <w:rsid w:val="001E14A3"/>
    <w:rsid w:val="001E390F"/>
    <w:rsid w:val="001E7FF4"/>
    <w:rsid w:val="001F029B"/>
    <w:rsid w:val="001F1C5C"/>
    <w:rsid w:val="001F2245"/>
    <w:rsid w:val="001F2C63"/>
    <w:rsid w:val="001F48C7"/>
    <w:rsid w:val="001F6DA1"/>
    <w:rsid w:val="00200178"/>
    <w:rsid w:val="00201F87"/>
    <w:rsid w:val="00204200"/>
    <w:rsid w:val="002044E6"/>
    <w:rsid w:val="00204576"/>
    <w:rsid w:val="00205C82"/>
    <w:rsid w:val="00205DC2"/>
    <w:rsid w:val="00212B17"/>
    <w:rsid w:val="002163B6"/>
    <w:rsid w:val="00217215"/>
    <w:rsid w:val="00220732"/>
    <w:rsid w:val="0022121F"/>
    <w:rsid w:val="00221D32"/>
    <w:rsid w:val="00222AC1"/>
    <w:rsid w:val="00225C3F"/>
    <w:rsid w:val="00226ED6"/>
    <w:rsid w:val="00255306"/>
    <w:rsid w:val="002566C7"/>
    <w:rsid w:val="00263D44"/>
    <w:rsid w:val="002702AD"/>
    <w:rsid w:val="0027368A"/>
    <w:rsid w:val="00274E59"/>
    <w:rsid w:val="00277600"/>
    <w:rsid w:val="00281EB4"/>
    <w:rsid w:val="00292D82"/>
    <w:rsid w:val="00293EE7"/>
    <w:rsid w:val="002954C2"/>
    <w:rsid w:val="002963CB"/>
    <w:rsid w:val="002B2DAC"/>
    <w:rsid w:val="002B4A01"/>
    <w:rsid w:val="002C291B"/>
    <w:rsid w:val="002C3C93"/>
    <w:rsid w:val="002C6889"/>
    <w:rsid w:val="002C746A"/>
    <w:rsid w:val="002C7E4E"/>
    <w:rsid w:val="002D226D"/>
    <w:rsid w:val="002D4E96"/>
    <w:rsid w:val="002D74E3"/>
    <w:rsid w:val="002E29B9"/>
    <w:rsid w:val="002F56F9"/>
    <w:rsid w:val="002F5F0D"/>
    <w:rsid w:val="002F6030"/>
    <w:rsid w:val="003001AC"/>
    <w:rsid w:val="00303202"/>
    <w:rsid w:val="003037E1"/>
    <w:rsid w:val="003040A8"/>
    <w:rsid w:val="00307E51"/>
    <w:rsid w:val="003103EC"/>
    <w:rsid w:val="00312132"/>
    <w:rsid w:val="003130BA"/>
    <w:rsid w:val="003144EF"/>
    <w:rsid w:val="0031480E"/>
    <w:rsid w:val="00316877"/>
    <w:rsid w:val="00322F74"/>
    <w:rsid w:val="00325E15"/>
    <w:rsid w:val="00335116"/>
    <w:rsid w:val="00340073"/>
    <w:rsid w:val="003411D8"/>
    <w:rsid w:val="0034192C"/>
    <w:rsid w:val="003445B0"/>
    <w:rsid w:val="00353B66"/>
    <w:rsid w:val="00355934"/>
    <w:rsid w:val="00357928"/>
    <w:rsid w:val="0036010E"/>
    <w:rsid w:val="003632FD"/>
    <w:rsid w:val="00370F78"/>
    <w:rsid w:val="00371A72"/>
    <w:rsid w:val="00372805"/>
    <w:rsid w:val="00373180"/>
    <w:rsid w:val="00375AB9"/>
    <w:rsid w:val="0037691E"/>
    <w:rsid w:val="003821A0"/>
    <w:rsid w:val="00384864"/>
    <w:rsid w:val="00385B04"/>
    <w:rsid w:val="003864CF"/>
    <w:rsid w:val="003948AE"/>
    <w:rsid w:val="003A08C0"/>
    <w:rsid w:val="003A22A6"/>
    <w:rsid w:val="003A32EB"/>
    <w:rsid w:val="003A5494"/>
    <w:rsid w:val="003B2510"/>
    <w:rsid w:val="003B4355"/>
    <w:rsid w:val="003B5D0A"/>
    <w:rsid w:val="003C2CC4"/>
    <w:rsid w:val="003C3710"/>
    <w:rsid w:val="003C42A3"/>
    <w:rsid w:val="003C48F7"/>
    <w:rsid w:val="003D0DD0"/>
    <w:rsid w:val="003E0463"/>
    <w:rsid w:val="003E0EFC"/>
    <w:rsid w:val="003E4A2B"/>
    <w:rsid w:val="003E5642"/>
    <w:rsid w:val="003E5BDD"/>
    <w:rsid w:val="003E6FE9"/>
    <w:rsid w:val="003E76C2"/>
    <w:rsid w:val="003F1367"/>
    <w:rsid w:val="003F1679"/>
    <w:rsid w:val="003F1C20"/>
    <w:rsid w:val="003F21EB"/>
    <w:rsid w:val="003F4A35"/>
    <w:rsid w:val="003F5F03"/>
    <w:rsid w:val="003F7FDD"/>
    <w:rsid w:val="00400E4A"/>
    <w:rsid w:val="00402101"/>
    <w:rsid w:val="00402481"/>
    <w:rsid w:val="00402978"/>
    <w:rsid w:val="004042B4"/>
    <w:rsid w:val="00405256"/>
    <w:rsid w:val="00410DC4"/>
    <w:rsid w:val="00412DAE"/>
    <w:rsid w:val="0041302D"/>
    <w:rsid w:val="0041464A"/>
    <w:rsid w:val="004242E6"/>
    <w:rsid w:val="00427B35"/>
    <w:rsid w:val="00431598"/>
    <w:rsid w:val="004319AD"/>
    <w:rsid w:val="004337E3"/>
    <w:rsid w:val="004426B8"/>
    <w:rsid w:val="00444432"/>
    <w:rsid w:val="00447D5C"/>
    <w:rsid w:val="00450202"/>
    <w:rsid w:val="004502B2"/>
    <w:rsid w:val="00455499"/>
    <w:rsid w:val="004649A7"/>
    <w:rsid w:val="00464E50"/>
    <w:rsid w:val="00464F4A"/>
    <w:rsid w:val="00466221"/>
    <w:rsid w:val="00467DBC"/>
    <w:rsid w:val="00471860"/>
    <w:rsid w:val="00471DFE"/>
    <w:rsid w:val="00477026"/>
    <w:rsid w:val="00477730"/>
    <w:rsid w:val="004A744D"/>
    <w:rsid w:val="004B60BD"/>
    <w:rsid w:val="004C3150"/>
    <w:rsid w:val="004C3641"/>
    <w:rsid w:val="004C3873"/>
    <w:rsid w:val="004C4390"/>
    <w:rsid w:val="004C4AF7"/>
    <w:rsid w:val="004C541D"/>
    <w:rsid w:val="004C7501"/>
    <w:rsid w:val="004D020C"/>
    <w:rsid w:val="004D2881"/>
    <w:rsid w:val="004D2D7D"/>
    <w:rsid w:val="004D385F"/>
    <w:rsid w:val="004D5B39"/>
    <w:rsid w:val="004D7976"/>
    <w:rsid w:val="004E0CEA"/>
    <w:rsid w:val="004E330D"/>
    <w:rsid w:val="004E4985"/>
    <w:rsid w:val="004E5147"/>
    <w:rsid w:val="004E69B5"/>
    <w:rsid w:val="004F2FAA"/>
    <w:rsid w:val="004F50D1"/>
    <w:rsid w:val="004F5C43"/>
    <w:rsid w:val="005050A2"/>
    <w:rsid w:val="00506030"/>
    <w:rsid w:val="0050652D"/>
    <w:rsid w:val="00506C03"/>
    <w:rsid w:val="00510BA0"/>
    <w:rsid w:val="00511A11"/>
    <w:rsid w:val="005129DB"/>
    <w:rsid w:val="00516496"/>
    <w:rsid w:val="00522E7D"/>
    <w:rsid w:val="00523B11"/>
    <w:rsid w:val="0052455B"/>
    <w:rsid w:val="0052572A"/>
    <w:rsid w:val="00532DFB"/>
    <w:rsid w:val="00543CB3"/>
    <w:rsid w:val="00543EA3"/>
    <w:rsid w:val="005442E4"/>
    <w:rsid w:val="00547652"/>
    <w:rsid w:val="0055529B"/>
    <w:rsid w:val="00560615"/>
    <w:rsid w:val="00560FF0"/>
    <w:rsid w:val="005614BD"/>
    <w:rsid w:val="0057154F"/>
    <w:rsid w:val="00576F19"/>
    <w:rsid w:val="00580F69"/>
    <w:rsid w:val="00581CA3"/>
    <w:rsid w:val="00585031"/>
    <w:rsid w:val="00585158"/>
    <w:rsid w:val="00586E8B"/>
    <w:rsid w:val="00587090"/>
    <w:rsid w:val="00587A44"/>
    <w:rsid w:val="00597730"/>
    <w:rsid w:val="005977EC"/>
    <w:rsid w:val="00597DE7"/>
    <w:rsid w:val="005A1CD3"/>
    <w:rsid w:val="005A4AA2"/>
    <w:rsid w:val="005A5994"/>
    <w:rsid w:val="005B34B6"/>
    <w:rsid w:val="005B606A"/>
    <w:rsid w:val="005B6C8F"/>
    <w:rsid w:val="005B6EC3"/>
    <w:rsid w:val="005C17D7"/>
    <w:rsid w:val="005C2C22"/>
    <w:rsid w:val="005C33CE"/>
    <w:rsid w:val="005C51D5"/>
    <w:rsid w:val="005C6C4A"/>
    <w:rsid w:val="005D0F74"/>
    <w:rsid w:val="005D2E7D"/>
    <w:rsid w:val="005D4A8F"/>
    <w:rsid w:val="005D561B"/>
    <w:rsid w:val="005D578F"/>
    <w:rsid w:val="005D5ECF"/>
    <w:rsid w:val="005F1277"/>
    <w:rsid w:val="005F468D"/>
    <w:rsid w:val="005F5556"/>
    <w:rsid w:val="005F69A3"/>
    <w:rsid w:val="00601938"/>
    <w:rsid w:val="00604CC7"/>
    <w:rsid w:val="00607691"/>
    <w:rsid w:val="00613441"/>
    <w:rsid w:val="00615423"/>
    <w:rsid w:val="006165B2"/>
    <w:rsid w:val="00617276"/>
    <w:rsid w:val="0062527B"/>
    <w:rsid w:val="00625D97"/>
    <w:rsid w:val="00625F1C"/>
    <w:rsid w:val="0062658E"/>
    <w:rsid w:val="006279E1"/>
    <w:rsid w:val="00630CEB"/>
    <w:rsid w:val="00631437"/>
    <w:rsid w:val="00632264"/>
    <w:rsid w:val="006355F2"/>
    <w:rsid w:val="00635FAE"/>
    <w:rsid w:val="006470BC"/>
    <w:rsid w:val="00650126"/>
    <w:rsid w:val="006554D3"/>
    <w:rsid w:val="006603F4"/>
    <w:rsid w:val="00661438"/>
    <w:rsid w:val="00661708"/>
    <w:rsid w:val="00666522"/>
    <w:rsid w:val="00667036"/>
    <w:rsid w:val="00667B89"/>
    <w:rsid w:val="00673BDB"/>
    <w:rsid w:val="00673E56"/>
    <w:rsid w:val="00674341"/>
    <w:rsid w:val="006771B8"/>
    <w:rsid w:val="00682631"/>
    <w:rsid w:val="00683A89"/>
    <w:rsid w:val="006843B6"/>
    <w:rsid w:val="0068481F"/>
    <w:rsid w:val="00693EA1"/>
    <w:rsid w:val="0069636F"/>
    <w:rsid w:val="00696F5D"/>
    <w:rsid w:val="00697249"/>
    <w:rsid w:val="006A06F3"/>
    <w:rsid w:val="006A1A67"/>
    <w:rsid w:val="006B09C4"/>
    <w:rsid w:val="006B169A"/>
    <w:rsid w:val="006B3947"/>
    <w:rsid w:val="006B4293"/>
    <w:rsid w:val="006B624F"/>
    <w:rsid w:val="006B6B43"/>
    <w:rsid w:val="006C0C95"/>
    <w:rsid w:val="006C31E3"/>
    <w:rsid w:val="006D18D3"/>
    <w:rsid w:val="006D1EE9"/>
    <w:rsid w:val="006D339D"/>
    <w:rsid w:val="006D3BD1"/>
    <w:rsid w:val="006E010E"/>
    <w:rsid w:val="006E08CB"/>
    <w:rsid w:val="006E598D"/>
    <w:rsid w:val="006E6EB7"/>
    <w:rsid w:val="0070437D"/>
    <w:rsid w:val="00704CF1"/>
    <w:rsid w:val="00705B04"/>
    <w:rsid w:val="0071040E"/>
    <w:rsid w:val="00717EE9"/>
    <w:rsid w:val="0072242E"/>
    <w:rsid w:val="00724992"/>
    <w:rsid w:val="00724F64"/>
    <w:rsid w:val="00727F90"/>
    <w:rsid w:val="00734820"/>
    <w:rsid w:val="007349DC"/>
    <w:rsid w:val="0074365E"/>
    <w:rsid w:val="007445EE"/>
    <w:rsid w:val="00744B55"/>
    <w:rsid w:val="007515FD"/>
    <w:rsid w:val="00753AB2"/>
    <w:rsid w:val="00760D80"/>
    <w:rsid w:val="00761CB4"/>
    <w:rsid w:val="00777123"/>
    <w:rsid w:val="00780C09"/>
    <w:rsid w:val="00780DDF"/>
    <w:rsid w:val="0078296C"/>
    <w:rsid w:val="007834E9"/>
    <w:rsid w:val="00787DBC"/>
    <w:rsid w:val="0079019A"/>
    <w:rsid w:val="00792935"/>
    <w:rsid w:val="007A04A1"/>
    <w:rsid w:val="007A1840"/>
    <w:rsid w:val="007A41DD"/>
    <w:rsid w:val="007B730C"/>
    <w:rsid w:val="007C0528"/>
    <w:rsid w:val="007C0590"/>
    <w:rsid w:val="007C08EA"/>
    <w:rsid w:val="007C2928"/>
    <w:rsid w:val="007C3D38"/>
    <w:rsid w:val="007D0F35"/>
    <w:rsid w:val="007D1783"/>
    <w:rsid w:val="007D4546"/>
    <w:rsid w:val="007D4FEB"/>
    <w:rsid w:val="007D6146"/>
    <w:rsid w:val="007E0CE7"/>
    <w:rsid w:val="007E5041"/>
    <w:rsid w:val="007E6DAF"/>
    <w:rsid w:val="007F1193"/>
    <w:rsid w:val="007F417F"/>
    <w:rsid w:val="007F7644"/>
    <w:rsid w:val="00802E96"/>
    <w:rsid w:val="008042BD"/>
    <w:rsid w:val="00804CC3"/>
    <w:rsid w:val="00804E17"/>
    <w:rsid w:val="008050B3"/>
    <w:rsid w:val="0080563F"/>
    <w:rsid w:val="00816624"/>
    <w:rsid w:val="00822427"/>
    <w:rsid w:val="00822562"/>
    <w:rsid w:val="00823663"/>
    <w:rsid w:val="00823664"/>
    <w:rsid w:val="00825CBF"/>
    <w:rsid w:val="008305B7"/>
    <w:rsid w:val="00832DDC"/>
    <w:rsid w:val="008426B0"/>
    <w:rsid w:val="00842CC1"/>
    <w:rsid w:val="008431BB"/>
    <w:rsid w:val="00845281"/>
    <w:rsid w:val="00845E34"/>
    <w:rsid w:val="0085064F"/>
    <w:rsid w:val="00850BAC"/>
    <w:rsid w:val="008513E5"/>
    <w:rsid w:val="00854A3E"/>
    <w:rsid w:val="00855D08"/>
    <w:rsid w:val="008618A4"/>
    <w:rsid w:val="008731AB"/>
    <w:rsid w:val="00874344"/>
    <w:rsid w:val="0087505D"/>
    <w:rsid w:val="00877703"/>
    <w:rsid w:val="008806E1"/>
    <w:rsid w:val="00880C1E"/>
    <w:rsid w:val="00882155"/>
    <w:rsid w:val="0088233B"/>
    <w:rsid w:val="0088599E"/>
    <w:rsid w:val="00886C37"/>
    <w:rsid w:val="008915FC"/>
    <w:rsid w:val="00892D99"/>
    <w:rsid w:val="00893315"/>
    <w:rsid w:val="00894C09"/>
    <w:rsid w:val="008A2AC5"/>
    <w:rsid w:val="008A6059"/>
    <w:rsid w:val="008B11C1"/>
    <w:rsid w:val="008B5C68"/>
    <w:rsid w:val="008B62AE"/>
    <w:rsid w:val="008C04B5"/>
    <w:rsid w:val="008C14FA"/>
    <w:rsid w:val="008C7B0B"/>
    <w:rsid w:val="008D4057"/>
    <w:rsid w:val="008E1F19"/>
    <w:rsid w:val="008E51EA"/>
    <w:rsid w:val="008F2262"/>
    <w:rsid w:val="008F4D2B"/>
    <w:rsid w:val="008F5B91"/>
    <w:rsid w:val="008F6D9C"/>
    <w:rsid w:val="008F7736"/>
    <w:rsid w:val="0090019E"/>
    <w:rsid w:val="00900435"/>
    <w:rsid w:val="00901086"/>
    <w:rsid w:val="00901C8A"/>
    <w:rsid w:val="00902F66"/>
    <w:rsid w:val="00903C72"/>
    <w:rsid w:val="00904F3B"/>
    <w:rsid w:val="00905886"/>
    <w:rsid w:val="009070D6"/>
    <w:rsid w:val="009076C6"/>
    <w:rsid w:val="0091019E"/>
    <w:rsid w:val="009106F1"/>
    <w:rsid w:val="009108D9"/>
    <w:rsid w:val="00912404"/>
    <w:rsid w:val="00914087"/>
    <w:rsid w:val="009145D6"/>
    <w:rsid w:val="00915541"/>
    <w:rsid w:val="00920E64"/>
    <w:rsid w:val="00922002"/>
    <w:rsid w:val="009225CB"/>
    <w:rsid w:val="00924020"/>
    <w:rsid w:val="00924BF4"/>
    <w:rsid w:val="009271A7"/>
    <w:rsid w:val="0092762F"/>
    <w:rsid w:val="0093658B"/>
    <w:rsid w:val="0093751A"/>
    <w:rsid w:val="009429FF"/>
    <w:rsid w:val="009444D1"/>
    <w:rsid w:val="00945BD6"/>
    <w:rsid w:val="009479FB"/>
    <w:rsid w:val="00951C45"/>
    <w:rsid w:val="00951DD8"/>
    <w:rsid w:val="0096053F"/>
    <w:rsid w:val="00961C3B"/>
    <w:rsid w:val="009656F2"/>
    <w:rsid w:val="00966A08"/>
    <w:rsid w:val="009701B7"/>
    <w:rsid w:val="00971207"/>
    <w:rsid w:val="00972FDC"/>
    <w:rsid w:val="0097491C"/>
    <w:rsid w:val="00975CB4"/>
    <w:rsid w:val="00983DF3"/>
    <w:rsid w:val="009863B0"/>
    <w:rsid w:val="00987DE1"/>
    <w:rsid w:val="00990571"/>
    <w:rsid w:val="00990A6F"/>
    <w:rsid w:val="00991905"/>
    <w:rsid w:val="009926B2"/>
    <w:rsid w:val="0099673A"/>
    <w:rsid w:val="009A3291"/>
    <w:rsid w:val="009A3330"/>
    <w:rsid w:val="009A548F"/>
    <w:rsid w:val="009A7C96"/>
    <w:rsid w:val="009B483E"/>
    <w:rsid w:val="009B61BF"/>
    <w:rsid w:val="009C3253"/>
    <w:rsid w:val="009C3DB9"/>
    <w:rsid w:val="009C5968"/>
    <w:rsid w:val="009D0436"/>
    <w:rsid w:val="009D114B"/>
    <w:rsid w:val="009D46E5"/>
    <w:rsid w:val="009D568A"/>
    <w:rsid w:val="009E06D4"/>
    <w:rsid w:val="009E6E5E"/>
    <w:rsid w:val="009E7956"/>
    <w:rsid w:val="009F04EC"/>
    <w:rsid w:val="009F2A7C"/>
    <w:rsid w:val="009F3B36"/>
    <w:rsid w:val="00A019B9"/>
    <w:rsid w:val="00A03157"/>
    <w:rsid w:val="00A11756"/>
    <w:rsid w:val="00A12497"/>
    <w:rsid w:val="00A12508"/>
    <w:rsid w:val="00A1282B"/>
    <w:rsid w:val="00A13A27"/>
    <w:rsid w:val="00A15B7C"/>
    <w:rsid w:val="00A175B6"/>
    <w:rsid w:val="00A21835"/>
    <w:rsid w:val="00A2374B"/>
    <w:rsid w:val="00A23AAB"/>
    <w:rsid w:val="00A23D95"/>
    <w:rsid w:val="00A27D6E"/>
    <w:rsid w:val="00A328EC"/>
    <w:rsid w:val="00A33A51"/>
    <w:rsid w:val="00A41CA6"/>
    <w:rsid w:val="00A431ED"/>
    <w:rsid w:val="00A47927"/>
    <w:rsid w:val="00A47FFC"/>
    <w:rsid w:val="00A50317"/>
    <w:rsid w:val="00A52C51"/>
    <w:rsid w:val="00A5442F"/>
    <w:rsid w:val="00A54FF9"/>
    <w:rsid w:val="00A56765"/>
    <w:rsid w:val="00A648C7"/>
    <w:rsid w:val="00A675AC"/>
    <w:rsid w:val="00A7097D"/>
    <w:rsid w:val="00A7581F"/>
    <w:rsid w:val="00A760FE"/>
    <w:rsid w:val="00A81274"/>
    <w:rsid w:val="00A86ACA"/>
    <w:rsid w:val="00A90058"/>
    <w:rsid w:val="00A92439"/>
    <w:rsid w:val="00A92FB1"/>
    <w:rsid w:val="00A94195"/>
    <w:rsid w:val="00A95980"/>
    <w:rsid w:val="00A95A0C"/>
    <w:rsid w:val="00AA2765"/>
    <w:rsid w:val="00AA77B5"/>
    <w:rsid w:val="00AB161B"/>
    <w:rsid w:val="00AB6C5D"/>
    <w:rsid w:val="00AC3401"/>
    <w:rsid w:val="00AC51A7"/>
    <w:rsid w:val="00AC603B"/>
    <w:rsid w:val="00AD0E89"/>
    <w:rsid w:val="00AD1D87"/>
    <w:rsid w:val="00AD444B"/>
    <w:rsid w:val="00AD5614"/>
    <w:rsid w:val="00AD6C78"/>
    <w:rsid w:val="00AE03F0"/>
    <w:rsid w:val="00AE2EAB"/>
    <w:rsid w:val="00AE401C"/>
    <w:rsid w:val="00AF13D0"/>
    <w:rsid w:val="00AF3D9B"/>
    <w:rsid w:val="00AF5E0E"/>
    <w:rsid w:val="00AF5F89"/>
    <w:rsid w:val="00AF6FB4"/>
    <w:rsid w:val="00AF73CB"/>
    <w:rsid w:val="00B002D6"/>
    <w:rsid w:val="00B02EF0"/>
    <w:rsid w:val="00B03379"/>
    <w:rsid w:val="00B03FA5"/>
    <w:rsid w:val="00B04110"/>
    <w:rsid w:val="00B05B51"/>
    <w:rsid w:val="00B14E5A"/>
    <w:rsid w:val="00B15370"/>
    <w:rsid w:val="00B16DA4"/>
    <w:rsid w:val="00B17BEB"/>
    <w:rsid w:val="00B21A3C"/>
    <w:rsid w:val="00B223C0"/>
    <w:rsid w:val="00B234ED"/>
    <w:rsid w:val="00B23DAC"/>
    <w:rsid w:val="00B249B2"/>
    <w:rsid w:val="00B24BEC"/>
    <w:rsid w:val="00B25CA3"/>
    <w:rsid w:val="00B2765A"/>
    <w:rsid w:val="00B27DEB"/>
    <w:rsid w:val="00B3109A"/>
    <w:rsid w:val="00B32D37"/>
    <w:rsid w:val="00B41AA8"/>
    <w:rsid w:val="00B42B45"/>
    <w:rsid w:val="00B516ED"/>
    <w:rsid w:val="00B5556B"/>
    <w:rsid w:val="00B565DA"/>
    <w:rsid w:val="00B57A6A"/>
    <w:rsid w:val="00B62D0D"/>
    <w:rsid w:val="00B71AB5"/>
    <w:rsid w:val="00B760F1"/>
    <w:rsid w:val="00B7669E"/>
    <w:rsid w:val="00B76EBB"/>
    <w:rsid w:val="00B77DA1"/>
    <w:rsid w:val="00B822A0"/>
    <w:rsid w:val="00B82F85"/>
    <w:rsid w:val="00B858AE"/>
    <w:rsid w:val="00B85964"/>
    <w:rsid w:val="00B8783B"/>
    <w:rsid w:val="00B95EF7"/>
    <w:rsid w:val="00B96250"/>
    <w:rsid w:val="00BA0D55"/>
    <w:rsid w:val="00BA37B3"/>
    <w:rsid w:val="00BA4CC6"/>
    <w:rsid w:val="00BA7F46"/>
    <w:rsid w:val="00BB0F1D"/>
    <w:rsid w:val="00BB1628"/>
    <w:rsid w:val="00BB3493"/>
    <w:rsid w:val="00BB6E4C"/>
    <w:rsid w:val="00BB7468"/>
    <w:rsid w:val="00BC0514"/>
    <w:rsid w:val="00BC188A"/>
    <w:rsid w:val="00BC1B38"/>
    <w:rsid w:val="00BC3B87"/>
    <w:rsid w:val="00BC402E"/>
    <w:rsid w:val="00BC70C6"/>
    <w:rsid w:val="00BD0F48"/>
    <w:rsid w:val="00BD14E5"/>
    <w:rsid w:val="00BE0E50"/>
    <w:rsid w:val="00BE6DDB"/>
    <w:rsid w:val="00BE6FDA"/>
    <w:rsid w:val="00BF03E0"/>
    <w:rsid w:val="00BF28CA"/>
    <w:rsid w:val="00BF5010"/>
    <w:rsid w:val="00BF5C14"/>
    <w:rsid w:val="00C03009"/>
    <w:rsid w:val="00C03D5F"/>
    <w:rsid w:val="00C13791"/>
    <w:rsid w:val="00C210BD"/>
    <w:rsid w:val="00C2575A"/>
    <w:rsid w:val="00C31BB3"/>
    <w:rsid w:val="00C36977"/>
    <w:rsid w:val="00C406FF"/>
    <w:rsid w:val="00C46628"/>
    <w:rsid w:val="00C467DA"/>
    <w:rsid w:val="00C477D9"/>
    <w:rsid w:val="00C530DF"/>
    <w:rsid w:val="00C57869"/>
    <w:rsid w:val="00C57A5A"/>
    <w:rsid w:val="00C6097E"/>
    <w:rsid w:val="00C60BA3"/>
    <w:rsid w:val="00C623F7"/>
    <w:rsid w:val="00C6297D"/>
    <w:rsid w:val="00C62A81"/>
    <w:rsid w:val="00C67CD7"/>
    <w:rsid w:val="00C71E00"/>
    <w:rsid w:val="00C75BC5"/>
    <w:rsid w:val="00C81670"/>
    <w:rsid w:val="00C81773"/>
    <w:rsid w:val="00C82861"/>
    <w:rsid w:val="00C8396C"/>
    <w:rsid w:val="00C8564E"/>
    <w:rsid w:val="00C86896"/>
    <w:rsid w:val="00C907A8"/>
    <w:rsid w:val="00C91670"/>
    <w:rsid w:val="00C93211"/>
    <w:rsid w:val="00C93DB8"/>
    <w:rsid w:val="00C942EC"/>
    <w:rsid w:val="00C96047"/>
    <w:rsid w:val="00C960A5"/>
    <w:rsid w:val="00C96C9E"/>
    <w:rsid w:val="00C979D0"/>
    <w:rsid w:val="00CA0818"/>
    <w:rsid w:val="00CA15C8"/>
    <w:rsid w:val="00CA2C8F"/>
    <w:rsid w:val="00CA30DA"/>
    <w:rsid w:val="00CA3A24"/>
    <w:rsid w:val="00CB16BF"/>
    <w:rsid w:val="00CB1777"/>
    <w:rsid w:val="00CB33E9"/>
    <w:rsid w:val="00CC10A9"/>
    <w:rsid w:val="00CD0655"/>
    <w:rsid w:val="00CD0660"/>
    <w:rsid w:val="00CE2BF8"/>
    <w:rsid w:val="00CE3AED"/>
    <w:rsid w:val="00CE484E"/>
    <w:rsid w:val="00CE4D20"/>
    <w:rsid w:val="00CE656F"/>
    <w:rsid w:val="00CE6A0B"/>
    <w:rsid w:val="00CF0DA8"/>
    <w:rsid w:val="00CF2E25"/>
    <w:rsid w:val="00CF4453"/>
    <w:rsid w:val="00CF5589"/>
    <w:rsid w:val="00CF5D94"/>
    <w:rsid w:val="00CF7E0F"/>
    <w:rsid w:val="00D00893"/>
    <w:rsid w:val="00D034D7"/>
    <w:rsid w:val="00D04BE4"/>
    <w:rsid w:val="00D06FC7"/>
    <w:rsid w:val="00D12565"/>
    <w:rsid w:val="00D140C1"/>
    <w:rsid w:val="00D14127"/>
    <w:rsid w:val="00D211DE"/>
    <w:rsid w:val="00D30200"/>
    <w:rsid w:val="00D36C36"/>
    <w:rsid w:val="00D479AE"/>
    <w:rsid w:val="00D50FCD"/>
    <w:rsid w:val="00D53246"/>
    <w:rsid w:val="00D533E3"/>
    <w:rsid w:val="00D558E5"/>
    <w:rsid w:val="00D5694A"/>
    <w:rsid w:val="00D60B16"/>
    <w:rsid w:val="00D60F02"/>
    <w:rsid w:val="00D64A0B"/>
    <w:rsid w:val="00D66E49"/>
    <w:rsid w:val="00D70D71"/>
    <w:rsid w:val="00D72F74"/>
    <w:rsid w:val="00D81272"/>
    <w:rsid w:val="00D81563"/>
    <w:rsid w:val="00D837C1"/>
    <w:rsid w:val="00D85907"/>
    <w:rsid w:val="00D860AC"/>
    <w:rsid w:val="00D9073E"/>
    <w:rsid w:val="00D9221D"/>
    <w:rsid w:val="00D9253C"/>
    <w:rsid w:val="00D958DF"/>
    <w:rsid w:val="00D96DA1"/>
    <w:rsid w:val="00DA2227"/>
    <w:rsid w:val="00DA51E7"/>
    <w:rsid w:val="00DB0260"/>
    <w:rsid w:val="00DB1C78"/>
    <w:rsid w:val="00DB7D96"/>
    <w:rsid w:val="00DC23FE"/>
    <w:rsid w:val="00DC59E6"/>
    <w:rsid w:val="00DC7C34"/>
    <w:rsid w:val="00DD0D85"/>
    <w:rsid w:val="00DD150B"/>
    <w:rsid w:val="00DD2FC6"/>
    <w:rsid w:val="00DD3127"/>
    <w:rsid w:val="00DD3356"/>
    <w:rsid w:val="00DD5025"/>
    <w:rsid w:val="00DD5464"/>
    <w:rsid w:val="00DD6F85"/>
    <w:rsid w:val="00DD748A"/>
    <w:rsid w:val="00DE254E"/>
    <w:rsid w:val="00DE32C0"/>
    <w:rsid w:val="00DE52C0"/>
    <w:rsid w:val="00DE76A7"/>
    <w:rsid w:val="00DF1510"/>
    <w:rsid w:val="00E02F1F"/>
    <w:rsid w:val="00E05454"/>
    <w:rsid w:val="00E06484"/>
    <w:rsid w:val="00E06B24"/>
    <w:rsid w:val="00E10346"/>
    <w:rsid w:val="00E13791"/>
    <w:rsid w:val="00E20A7D"/>
    <w:rsid w:val="00E20ED5"/>
    <w:rsid w:val="00E23FE4"/>
    <w:rsid w:val="00E275D8"/>
    <w:rsid w:val="00E30F6A"/>
    <w:rsid w:val="00E3117C"/>
    <w:rsid w:val="00E31288"/>
    <w:rsid w:val="00E3191F"/>
    <w:rsid w:val="00E34307"/>
    <w:rsid w:val="00E34511"/>
    <w:rsid w:val="00E3635B"/>
    <w:rsid w:val="00E375C3"/>
    <w:rsid w:val="00E375CA"/>
    <w:rsid w:val="00E41AC7"/>
    <w:rsid w:val="00E41F65"/>
    <w:rsid w:val="00E52A50"/>
    <w:rsid w:val="00E5364F"/>
    <w:rsid w:val="00E53CDE"/>
    <w:rsid w:val="00E567E8"/>
    <w:rsid w:val="00E63766"/>
    <w:rsid w:val="00E64679"/>
    <w:rsid w:val="00E65EBC"/>
    <w:rsid w:val="00E6602E"/>
    <w:rsid w:val="00E677FE"/>
    <w:rsid w:val="00E73432"/>
    <w:rsid w:val="00E73C0D"/>
    <w:rsid w:val="00E77B0C"/>
    <w:rsid w:val="00E77FB8"/>
    <w:rsid w:val="00E838B0"/>
    <w:rsid w:val="00E86A7C"/>
    <w:rsid w:val="00E878E1"/>
    <w:rsid w:val="00E87F2C"/>
    <w:rsid w:val="00E95278"/>
    <w:rsid w:val="00E96A42"/>
    <w:rsid w:val="00EA2273"/>
    <w:rsid w:val="00EA7C3C"/>
    <w:rsid w:val="00EB2DB3"/>
    <w:rsid w:val="00EC3FBB"/>
    <w:rsid w:val="00EC6B7A"/>
    <w:rsid w:val="00EC75C9"/>
    <w:rsid w:val="00ED3A87"/>
    <w:rsid w:val="00ED5B67"/>
    <w:rsid w:val="00EE099F"/>
    <w:rsid w:val="00EE1A5C"/>
    <w:rsid w:val="00EE5F5A"/>
    <w:rsid w:val="00EF12EE"/>
    <w:rsid w:val="00EF22FB"/>
    <w:rsid w:val="00EF264C"/>
    <w:rsid w:val="00EF3FEE"/>
    <w:rsid w:val="00EF6B41"/>
    <w:rsid w:val="00F04157"/>
    <w:rsid w:val="00F04B59"/>
    <w:rsid w:val="00F07B69"/>
    <w:rsid w:val="00F11741"/>
    <w:rsid w:val="00F117B0"/>
    <w:rsid w:val="00F12B1C"/>
    <w:rsid w:val="00F13CF8"/>
    <w:rsid w:val="00F15855"/>
    <w:rsid w:val="00F17A5D"/>
    <w:rsid w:val="00F200B2"/>
    <w:rsid w:val="00F219BE"/>
    <w:rsid w:val="00F227DC"/>
    <w:rsid w:val="00F263B9"/>
    <w:rsid w:val="00F30701"/>
    <w:rsid w:val="00F32978"/>
    <w:rsid w:val="00F441A3"/>
    <w:rsid w:val="00F45CB2"/>
    <w:rsid w:val="00F511F3"/>
    <w:rsid w:val="00F529B1"/>
    <w:rsid w:val="00F544C0"/>
    <w:rsid w:val="00F55332"/>
    <w:rsid w:val="00F6156E"/>
    <w:rsid w:val="00F629F0"/>
    <w:rsid w:val="00F6504A"/>
    <w:rsid w:val="00F65519"/>
    <w:rsid w:val="00F66D9F"/>
    <w:rsid w:val="00F713C0"/>
    <w:rsid w:val="00F75DDC"/>
    <w:rsid w:val="00F7792F"/>
    <w:rsid w:val="00F842AA"/>
    <w:rsid w:val="00F8476F"/>
    <w:rsid w:val="00F853E1"/>
    <w:rsid w:val="00F85604"/>
    <w:rsid w:val="00F91280"/>
    <w:rsid w:val="00F93809"/>
    <w:rsid w:val="00F94B7A"/>
    <w:rsid w:val="00FA17AC"/>
    <w:rsid w:val="00FA32DE"/>
    <w:rsid w:val="00FA3382"/>
    <w:rsid w:val="00FA59CD"/>
    <w:rsid w:val="00FA745B"/>
    <w:rsid w:val="00FB0CDC"/>
    <w:rsid w:val="00FB1740"/>
    <w:rsid w:val="00FB4235"/>
    <w:rsid w:val="00FC4446"/>
    <w:rsid w:val="00FC5469"/>
    <w:rsid w:val="00FC6D7D"/>
    <w:rsid w:val="00FD16B0"/>
    <w:rsid w:val="00FD4102"/>
    <w:rsid w:val="00FD4FED"/>
    <w:rsid w:val="00FE00C8"/>
    <w:rsid w:val="00FE0577"/>
    <w:rsid w:val="00FE2FF8"/>
    <w:rsid w:val="00FE59EC"/>
    <w:rsid w:val="00FE5B67"/>
    <w:rsid w:val="00FE60D6"/>
    <w:rsid w:val="00FF18C6"/>
    <w:rsid w:val="00FF1FEC"/>
    <w:rsid w:val="00FF40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15:docId w15:val="{6B427E09-FFB6-4D17-B458-7F6E1FCC4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BodyText"/>
    <w:link w:val="Heading1Char"/>
    <w:qFormat/>
    <w:pPr>
      <w:keepNext/>
      <w:spacing w:after="240"/>
      <w:jc w:val="both"/>
      <w:outlineLvl w:val="0"/>
    </w:pPr>
    <w:rPr>
      <w:rFonts w:cs="Arial"/>
      <w:bCs/>
      <w:kern w:val="32"/>
      <w:szCs w:val="32"/>
    </w:rPr>
  </w:style>
  <w:style w:type="paragraph" w:styleId="Heading2">
    <w:name w:val="heading 2"/>
    <w:basedOn w:val="Normal"/>
    <w:next w:val="BodyText"/>
    <w:link w:val="Heading2Char"/>
    <w:qFormat/>
    <w:pPr>
      <w:keepNext/>
      <w:spacing w:after="240"/>
      <w:jc w:val="both"/>
      <w:outlineLvl w:val="1"/>
    </w:pPr>
    <w:rPr>
      <w:rFonts w:cs="Arial"/>
      <w:bCs/>
      <w:iCs/>
      <w:szCs w:val="28"/>
    </w:rPr>
  </w:style>
  <w:style w:type="paragraph" w:styleId="Heading3">
    <w:name w:val="heading 3"/>
    <w:basedOn w:val="BodyText"/>
    <w:next w:val="BodyText"/>
    <w:qFormat/>
    <w:pPr>
      <w:outlineLvl w:val="2"/>
    </w:p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36CE2"/>
    <w:pPr>
      <w:spacing w:after="240"/>
      <w:jc w:val="both"/>
    </w:pPr>
  </w:style>
  <w:style w:type="character" w:customStyle="1" w:styleId="BodyTextChar">
    <w:name w:val="Body Text Char"/>
    <w:link w:val="BodyText"/>
    <w:rsid w:val="00036CE2"/>
    <w:rPr>
      <w:sz w:val="24"/>
      <w:szCs w:val="24"/>
    </w:rPr>
  </w:style>
  <w:style w:type="character" w:customStyle="1" w:styleId="Heading1Char">
    <w:name w:val="Heading 1 Char"/>
    <w:link w:val="Heading1"/>
    <w:rPr>
      <w:rFonts w:cs="Arial"/>
      <w:bCs/>
      <w:kern w:val="32"/>
      <w:sz w:val="24"/>
      <w:szCs w:val="32"/>
      <w:lang w:val="en-US" w:eastAsia="en-US" w:bidi="ar-SA"/>
    </w:rPr>
  </w:style>
  <w:style w:type="character" w:customStyle="1" w:styleId="Heading2Char">
    <w:name w:val="Heading 2 Char"/>
    <w:link w:val="Heading2"/>
    <w:rPr>
      <w:rFonts w:cs="Arial"/>
      <w:bCs/>
      <w:iCs/>
      <w:sz w:val="24"/>
      <w:szCs w:val="28"/>
      <w:lang w:val="en-US" w:eastAsia="en-US" w:bidi="ar-SA"/>
    </w:rPr>
  </w:style>
  <w:style w:type="paragraph" w:styleId="Header">
    <w:name w:val="header"/>
    <w:basedOn w:val="Normal"/>
    <w:pPr>
      <w:tabs>
        <w:tab w:val="center" w:pos="4320"/>
        <w:tab w:val="right" w:pos="8640"/>
      </w:tabs>
      <w:jc w:val="both"/>
    </w:pPr>
  </w:style>
  <w:style w:type="paragraph" w:styleId="Footer">
    <w:name w:val="footer"/>
    <w:basedOn w:val="Normal"/>
    <w:pPr>
      <w:tabs>
        <w:tab w:val="center" w:pos="4320"/>
        <w:tab w:val="right" w:pos="8640"/>
      </w:tabs>
    </w:pPr>
  </w:style>
  <w:style w:type="paragraph" w:customStyle="1" w:styleId="MemoAddresses">
    <w:name w:val="Memo Addresses"/>
    <w:basedOn w:val="Normal"/>
    <w:next w:val="Normal"/>
    <w:pPr>
      <w:spacing w:before="120"/>
      <w:ind w:left="1008" w:hanging="1008"/>
      <w:jc w:val="both"/>
    </w:pPr>
  </w:style>
  <w:style w:type="paragraph" w:customStyle="1" w:styleId="MastHeadPSC">
    <w:name w:val="MastHead PSC"/>
    <w:basedOn w:val="Normal"/>
    <w:next w:val="Normal"/>
    <w:rsid w:val="00E567E8"/>
    <w:pPr>
      <w:jc w:val="center"/>
    </w:pPr>
    <w:rPr>
      <w:b/>
      <w:sz w:val="48"/>
      <w:szCs w:val="48"/>
    </w:rPr>
  </w:style>
  <w:style w:type="paragraph" w:customStyle="1" w:styleId="MastHeadMemorandum">
    <w:name w:val="MastHead Memorandum"/>
    <w:basedOn w:val="Normal"/>
    <w:next w:val="Normal"/>
    <w:pPr>
      <w:jc w:val="center"/>
    </w:pPr>
    <w:rPr>
      <w:b/>
      <w:sz w:val="28"/>
      <w:szCs w:val="28"/>
    </w:rPr>
  </w:style>
  <w:style w:type="paragraph" w:customStyle="1" w:styleId="MastHeadAddress">
    <w:name w:val="MastHead Address"/>
    <w:basedOn w:val="Normal"/>
    <w:next w:val="Normal"/>
    <w:pPr>
      <w:spacing w:after="200"/>
      <w:jc w:val="center"/>
    </w:pPr>
    <w:rPr>
      <w:b/>
      <w:smallCaps/>
      <w:sz w:val="20"/>
      <w:szCs w:val="20"/>
    </w:rPr>
  </w:style>
  <w:style w:type="paragraph" w:customStyle="1" w:styleId="MastHeadState">
    <w:name w:val="MastHead State"/>
    <w:basedOn w:val="Normal"/>
    <w:next w:val="Normal"/>
    <w:pPr>
      <w:jc w:val="center"/>
    </w:pPr>
    <w:rPr>
      <w:b/>
      <w:sz w:val="28"/>
      <w:szCs w:val="28"/>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moHeading">
    <w:name w:val="Memo Heading"/>
    <w:basedOn w:val="Normal"/>
    <w:next w:val="Normal"/>
    <w:pPr>
      <w:jc w:val="both"/>
    </w:pPr>
  </w:style>
  <w:style w:type="paragraph" w:customStyle="1" w:styleId="BlockText5">
    <w:name w:val="Block Text .5&quot;"/>
    <w:basedOn w:val="Normal"/>
    <w:pPr>
      <w:spacing w:after="120"/>
      <w:ind w:left="720" w:right="720"/>
    </w:pPr>
  </w:style>
  <w:style w:type="paragraph" w:customStyle="1" w:styleId="BlockText1">
    <w:name w:val="Block Text 1&quot;"/>
    <w:basedOn w:val="Normal"/>
    <w:pPr>
      <w:spacing w:after="120"/>
      <w:ind w:left="1440" w:right="1440"/>
    </w:pPr>
  </w:style>
  <w:style w:type="paragraph" w:customStyle="1" w:styleId="BlockText15">
    <w:name w:val="Block Text 1.5&quot;"/>
    <w:basedOn w:val="Normal"/>
    <w:pPr>
      <w:spacing w:after="120"/>
      <w:ind w:left="2160" w:right="2160"/>
    </w:pPr>
  </w:style>
  <w:style w:type="paragraph" w:customStyle="1" w:styleId="IssueHeading">
    <w:name w:val="Issue Heading"/>
    <w:basedOn w:val="Heading1"/>
    <w:next w:val="BodyText"/>
    <w:link w:val="IssueHeadingChar"/>
    <w:qFormat/>
    <w:rsid w:val="00920E64"/>
    <w:pPr>
      <w:keepNext w:val="0"/>
    </w:pPr>
    <w:rPr>
      <w:rFonts w:ascii="Arial" w:hAnsi="Arial"/>
      <w:b/>
      <w:i/>
    </w:rPr>
  </w:style>
  <w:style w:type="character" w:customStyle="1" w:styleId="IssueHeadingChar">
    <w:name w:val="Issue Heading Char"/>
    <w:link w:val="IssueHeading"/>
    <w:rsid w:val="00920E64"/>
    <w:rPr>
      <w:rFonts w:ascii="Arial" w:hAnsi="Arial" w:cs="Arial"/>
      <w:b/>
      <w:bCs/>
      <w:i/>
      <w:kern w:val="32"/>
      <w:sz w:val="24"/>
      <w:szCs w:val="32"/>
    </w:rPr>
  </w:style>
  <w:style w:type="paragraph" w:customStyle="1" w:styleId="MemoHeadingRe">
    <w:name w:val="Memo Heading Re"/>
    <w:basedOn w:val="MemoHeading"/>
    <w:pPr>
      <w:tabs>
        <w:tab w:val="left" w:pos="2520"/>
        <w:tab w:val="left" w:pos="2736"/>
      </w:tabs>
    </w:pPr>
  </w:style>
  <w:style w:type="paragraph" w:styleId="TOC1">
    <w:name w:val="toc 1"/>
    <w:basedOn w:val="Normal"/>
    <w:next w:val="Normal"/>
    <w:pPr>
      <w:tabs>
        <w:tab w:val="left" w:pos="864"/>
        <w:tab w:val="right" w:leader="dot" w:pos="9360"/>
      </w:tabs>
      <w:ind w:left="864" w:right="360" w:hanging="864"/>
    </w:pPr>
  </w:style>
  <w:style w:type="character" w:styleId="Hyperlink">
    <w:name w:val="Hyperlink"/>
    <w:rPr>
      <w:color w:val="0000FF"/>
      <w:u w:val="single"/>
    </w:rPr>
  </w:style>
  <w:style w:type="paragraph" w:customStyle="1" w:styleId="RecommendationMajorSectionHeading">
    <w:name w:val="Recommendation Major Section Heading"/>
    <w:basedOn w:val="Heading1"/>
    <w:next w:val="BodyText"/>
    <w:rsid w:val="00F55332"/>
    <w:pPr>
      <w:jc w:val="center"/>
    </w:pPr>
    <w:rPr>
      <w:rFonts w:ascii="Arial" w:hAnsi="Arial"/>
      <w:b/>
    </w:rPr>
  </w:style>
  <w:style w:type="paragraph" w:customStyle="1" w:styleId="IssueSubsectionHeading">
    <w:name w:val="Issue Subsection Heading"/>
    <w:basedOn w:val="Heading2"/>
    <w:next w:val="BodyText"/>
    <w:link w:val="IssueSubsectionHeadingChar"/>
    <w:qFormat/>
    <w:rsid w:val="00920E64"/>
    <w:pPr>
      <w:keepNext w:val="0"/>
    </w:pPr>
    <w:rPr>
      <w:rFonts w:ascii="Arial" w:hAnsi="Arial"/>
      <w:b/>
      <w:i/>
    </w:rPr>
  </w:style>
  <w:style w:type="character" w:customStyle="1" w:styleId="IssueSubsectionHeadingChar">
    <w:name w:val="Issue Subsection Heading Char"/>
    <w:link w:val="IssueSubsectionHeading"/>
    <w:rsid w:val="00920E64"/>
    <w:rPr>
      <w:rFonts w:ascii="Arial" w:hAnsi="Arial" w:cs="Arial"/>
      <w:b/>
      <w:bCs/>
      <w:i/>
      <w:iCs/>
      <w:sz w:val="24"/>
      <w:szCs w:val="28"/>
    </w:rPr>
  </w:style>
  <w:style w:type="paragraph" w:customStyle="1" w:styleId="RecommendationHeading">
    <w:name w:val="Recommendation Heading"/>
    <w:basedOn w:val="Heading1"/>
    <w:next w:val="BodyText"/>
    <w:pPr>
      <w:keepNext w:val="0"/>
      <w:jc w:val="center"/>
    </w:pPr>
    <w:rPr>
      <w:b/>
      <w:u w:val="single"/>
    </w:rPr>
  </w:style>
  <w:style w:type="paragraph" w:customStyle="1" w:styleId="DiscussionofIssues">
    <w:name w:val="Discussion of Issues"/>
    <w:basedOn w:val="RecommendationMajorSectionHeading"/>
    <w:next w:val="BodyText"/>
    <w:pPr>
      <w:spacing w:after="0"/>
    </w:pPr>
  </w:style>
  <w:style w:type="character" w:styleId="PageNumber">
    <w:name w:val="page number"/>
    <w:basedOn w:val="DefaultParagraphFont"/>
  </w:style>
  <w:style w:type="paragraph" w:customStyle="1" w:styleId="TOCColumnHeadings">
    <w:name w:val="TOC Column Headings"/>
    <w:basedOn w:val="Normal"/>
    <w:rsid w:val="003864CF"/>
    <w:pPr>
      <w:tabs>
        <w:tab w:val="left" w:pos="864"/>
        <w:tab w:val="right" w:pos="9360"/>
      </w:tabs>
    </w:pPr>
    <w:rPr>
      <w:rFonts w:ascii="Arial" w:hAnsi="Arial"/>
      <w:b/>
      <w:i/>
    </w:rPr>
  </w:style>
  <w:style w:type="table" w:customStyle="1" w:styleId="TableMasthead">
    <w:name w:val="Table Masthead"/>
    <w:basedOn w:val="TableGrid"/>
    <w:tblPr/>
  </w:style>
  <w:style w:type="paragraph" w:customStyle="1" w:styleId="StyleHeading1BoldUnderline">
    <w:name w:val="Style Heading 1 + Bold Underline"/>
    <w:basedOn w:val="Heading1"/>
    <w:link w:val="StyleHeading1BoldUnderlineChar"/>
    <w:pPr>
      <w:keepNext w:val="0"/>
      <w:spacing w:before="240"/>
    </w:pPr>
    <w:rPr>
      <w:b/>
      <w:u w:val="single"/>
    </w:rPr>
  </w:style>
  <w:style w:type="character" w:customStyle="1" w:styleId="StyleHeading1BoldUnderlineChar">
    <w:name w:val="Style Heading 1 + Bold Underline Char"/>
    <w:link w:val="StyleHeading1BoldUnderline"/>
    <w:rPr>
      <w:rFonts w:cs="Arial"/>
      <w:b/>
      <w:bCs/>
      <w:kern w:val="32"/>
      <w:sz w:val="24"/>
      <w:szCs w:val="32"/>
      <w:u w:val="single"/>
      <w:lang w:val="en-US" w:eastAsia="en-US" w:bidi="ar-SA"/>
    </w:rPr>
  </w:style>
  <w:style w:type="paragraph" w:customStyle="1" w:styleId="RecommendationIssueGroupingSection">
    <w:name w:val="Recommendation Issue Grouping Section"/>
    <w:basedOn w:val="RecommendationMajorSectionHeading"/>
    <w:next w:val="IssueHeading"/>
    <w:pPr>
      <w:jc w:val="left"/>
    </w:pPr>
  </w:style>
  <w:style w:type="paragraph" w:styleId="FootnoteText">
    <w:name w:val="footnote text"/>
    <w:basedOn w:val="Normal"/>
    <w:link w:val="FootnoteTextChar"/>
    <w:uiPriority w:val="99"/>
    <w:pPr>
      <w:jc w:val="both"/>
    </w:pPr>
    <w:rPr>
      <w:sz w:val="20"/>
      <w:szCs w:val="20"/>
    </w:rPr>
  </w:style>
  <w:style w:type="paragraph" w:styleId="TOC3">
    <w:name w:val="toc 3"/>
    <w:basedOn w:val="TOC2"/>
    <w:next w:val="Normal"/>
    <w:pPr>
      <w:tabs>
        <w:tab w:val="clear" w:pos="1152"/>
        <w:tab w:val="left" w:pos="1584"/>
      </w:tabs>
      <w:ind w:left="1584" w:hanging="432"/>
    </w:pPr>
  </w:style>
  <w:style w:type="paragraph" w:styleId="TOC2">
    <w:name w:val="toc 2"/>
    <w:basedOn w:val="TOC1"/>
    <w:next w:val="Normal"/>
    <w:pPr>
      <w:tabs>
        <w:tab w:val="clear" w:pos="864"/>
        <w:tab w:val="left" w:pos="1152"/>
      </w:tabs>
      <w:ind w:left="1152" w:hanging="288"/>
    </w:pPr>
  </w:style>
  <w:style w:type="paragraph" w:styleId="DocumentMap">
    <w:name w:val="Document Map"/>
    <w:basedOn w:val="Normal"/>
    <w:semiHidden/>
    <w:pPr>
      <w:shd w:val="clear" w:color="auto" w:fill="000080"/>
    </w:pPr>
    <w:rPr>
      <w:rFonts w:ascii="Tahoma" w:hAnsi="Tahoma" w:cs="Tahoma"/>
    </w:rPr>
  </w:style>
  <w:style w:type="paragraph" w:styleId="BalloonText">
    <w:name w:val="Balloon Text"/>
    <w:basedOn w:val="Normal"/>
    <w:semiHidden/>
    <w:rPr>
      <w:rFonts w:ascii="Tahoma" w:hAnsi="Tahoma" w:cs="Tahoma"/>
      <w:sz w:val="16"/>
      <w:szCs w:val="16"/>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spacing w:after="120"/>
      <w:ind w:firstLine="210"/>
      <w:jc w:val="left"/>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before="120" w:after="120"/>
    </w:pPr>
    <w:rPr>
      <w:b/>
      <w:bCs/>
      <w:sz w:val="20"/>
      <w:szCs w:val="20"/>
    </w:rPr>
  </w:style>
  <w:style w:type="paragraph" w:styleId="Closing">
    <w:name w:val="Closing"/>
    <w:basedOn w:val="Normal"/>
    <w:pPr>
      <w:ind w:left="4320"/>
    </w:p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Date">
    <w:name w:val="Date"/>
    <w:basedOn w:val="Normal"/>
    <w:next w:val="Normal"/>
  </w:style>
  <w:style w:type="paragraph" w:styleId="E-mailSignature">
    <w:name w:val="E-mail Signature"/>
    <w:basedOn w:val="Normal"/>
  </w:style>
  <w:style w:type="paragraph" w:styleId="EndnoteText">
    <w:name w:val="endnote text"/>
    <w:basedOn w:val="Normal"/>
    <w:semiHidden/>
    <w:rPr>
      <w:sz w:val="20"/>
      <w:szCs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szCs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cs="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r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9">
    <w:name w:val="toc 9"/>
    <w:basedOn w:val="TOC1"/>
    <w:next w:val="Normal"/>
    <w:autoRedefine/>
    <w:pPr>
      <w:ind w:left="1728"/>
    </w:pPr>
    <w:rPr>
      <w:u w:val="single"/>
    </w:rPr>
  </w:style>
  <w:style w:type="paragraph" w:customStyle="1" w:styleId="MemoHeadingLabel">
    <w:name w:val="Memo Heading Label"/>
    <w:basedOn w:val="MemoHeading"/>
    <w:qFormat/>
    <w:rsid w:val="00506C03"/>
    <w:rPr>
      <w:rFonts w:ascii="Arial" w:hAnsi="Arial"/>
      <w:b/>
    </w:rPr>
  </w:style>
  <w:style w:type="paragraph" w:customStyle="1" w:styleId="First-LevelSubheading">
    <w:name w:val="First-Level Subheading"/>
    <w:basedOn w:val="IssueSubsectionHeading"/>
    <w:next w:val="BodyText"/>
    <w:qFormat/>
    <w:rsid w:val="00B57A6A"/>
    <w:pPr>
      <w:spacing w:after="0"/>
      <w:outlineLvl w:val="2"/>
    </w:pPr>
    <w:rPr>
      <w:i w:val="0"/>
    </w:rPr>
  </w:style>
  <w:style w:type="paragraph" w:customStyle="1" w:styleId="Second-LevelSubheading">
    <w:name w:val="Second-Level Subheading"/>
    <w:basedOn w:val="First-LevelSubheading"/>
    <w:next w:val="BodyText"/>
    <w:qFormat/>
    <w:rsid w:val="009070D6"/>
    <w:pPr>
      <w:ind w:left="720"/>
      <w:outlineLvl w:val="3"/>
    </w:pPr>
    <w:rPr>
      <w:i/>
    </w:rPr>
  </w:style>
  <w:style w:type="paragraph" w:customStyle="1" w:styleId="TableNumber">
    <w:name w:val="Table Number"/>
    <w:basedOn w:val="BodyText"/>
    <w:next w:val="BodyText"/>
    <w:qFormat/>
    <w:rsid w:val="00CA2C8F"/>
    <w:pPr>
      <w:spacing w:before="480" w:after="0"/>
      <w:jc w:val="center"/>
    </w:pPr>
    <w:rPr>
      <w:rFonts w:ascii="Arial" w:hAnsi="Arial"/>
      <w:b/>
    </w:rPr>
  </w:style>
  <w:style w:type="paragraph" w:customStyle="1" w:styleId="TableTitle">
    <w:name w:val="Table Title"/>
    <w:basedOn w:val="BodyText"/>
    <w:next w:val="BodyText"/>
    <w:qFormat/>
    <w:rsid w:val="00CA2C8F"/>
    <w:pPr>
      <w:spacing w:after="0"/>
      <w:jc w:val="center"/>
    </w:pPr>
    <w:rPr>
      <w:rFonts w:ascii="Arial" w:hAnsi="Arial"/>
      <w:b/>
    </w:rPr>
  </w:style>
  <w:style w:type="paragraph" w:customStyle="1" w:styleId="TableSource">
    <w:name w:val="Table Source"/>
    <w:basedOn w:val="BodyText"/>
    <w:next w:val="BodyText"/>
    <w:qFormat/>
    <w:rsid w:val="00CA2C8F"/>
    <w:pPr>
      <w:spacing w:after="480"/>
    </w:pPr>
  </w:style>
  <w:style w:type="paragraph" w:customStyle="1" w:styleId="PartyName">
    <w:name w:val="Party Name"/>
    <w:basedOn w:val="IssueSubsectionHeading"/>
    <w:next w:val="BodyText"/>
    <w:qFormat/>
    <w:rsid w:val="00920E64"/>
    <w:rPr>
      <w:i w:val="0"/>
    </w:rPr>
  </w:style>
  <w:style w:type="paragraph" w:customStyle="1" w:styleId="Third-LevelSubheading">
    <w:name w:val="Third-Level Subheading"/>
    <w:basedOn w:val="Second-LevelSubheading"/>
    <w:next w:val="BodyText"/>
    <w:qFormat/>
    <w:rsid w:val="00E275D8"/>
    <w:pPr>
      <w:ind w:left="1440"/>
      <w:outlineLvl w:val="4"/>
    </w:pPr>
  </w:style>
  <w:style w:type="character" w:customStyle="1" w:styleId="FootnoteTextChar">
    <w:name w:val="Footnote Text Char"/>
    <w:basedOn w:val="DefaultParagraphFont"/>
    <w:link w:val="FootnoteText"/>
    <w:uiPriority w:val="99"/>
    <w:rsid w:val="00F17A5D"/>
  </w:style>
  <w:style w:type="character" w:styleId="FootnoteReference">
    <w:name w:val="footnote reference"/>
    <w:basedOn w:val="DefaultParagraphFont"/>
    <w:uiPriority w:val="99"/>
    <w:semiHidden/>
    <w:unhideWhenUsed/>
    <w:rsid w:val="00F17A5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image" Target="media/image4.jp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7.jp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3.jp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jpg"/><Relationship Id="rId20" Type="http://schemas.openxmlformats.org/officeDocument/2006/relationships/image" Target="media/image6.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9.jpg"/><Relationship Id="rId10" Type="http://schemas.openxmlformats.org/officeDocument/2006/relationships/header" Target="header2.xml"/><Relationship Id="rId19" Type="http://schemas.openxmlformats.org/officeDocument/2006/relationships/image" Target="media/image5.jp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8.jpg"/></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Recommendation%20(Regula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7A4A63-50C1-4EB1-B1A5-F58746757F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Recommendation (Regular)</Template>
  <TotalTime>0</TotalTime>
  <Pages>13</Pages>
  <Words>1062</Words>
  <Characters>6142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Recommendation</vt:lpstr>
    </vt:vector>
  </TitlesOfParts>
  <Company>Florida Public Service Commission</Company>
  <LinksUpToDate>false</LinksUpToDate>
  <CharactersWithSpaces>7190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Recommendation</dc:title>
  <dc:creator>Sevini Guffey</dc:creator>
  <cp:lastModifiedBy>Jackie Colson</cp:lastModifiedBy>
  <cp:revision>2</cp:revision>
  <cp:lastPrinted>2026-02-11T14:41:00Z</cp:lastPrinted>
  <dcterms:created xsi:type="dcterms:W3CDTF">2026-02-19T14:10:00Z</dcterms:created>
  <dcterms:modified xsi:type="dcterms:W3CDTF">2026-02-19T14:10:00Z</dcterms:modified>
  <cp:category>recommendation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ketList">
    <vt:lpwstr>20250139-EI</vt:lpwstr>
  </property>
  <property fmtid="{D5CDD505-2E9C-101B-9397-08002B2CF9AE}" pid="3" name="MasterDocument">
    <vt:bool>false</vt:bool>
  </property>
</Properties>
</file>