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128956EC"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3D19CFDB" w14:textId="77777777" w:rsidR="007C0528" w:rsidRDefault="007C0528" w:rsidP="00532DFB">
            <w:pPr>
              <w:pStyle w:val="MastHeadState"/>
            </w:pPr>
            <w:bookmarkStart w:id="0" w:name="_GoBack"/>
            <w:bookmarkEnd w:id="0"/>
            <w:r>
              <w:t>State of Florida</w:t>
            </w:r>
          </w:p>
          <w:p w14:paraId="2247E49E" w14:textId="77777777" w:rsidR="007C0528" w:rsidRDefault="00072CCA">
            <w:pPr>
              <w:jc w:val="center"/>
            </w:pPr>
            <w:r>
              <w:rPr>
                <w:noProof/>
              </w:rPr>
              <w:drawing>
                <wp:inline distT="0" distB="0" distL="0" distR="0" wp14:anchorId="0E91F998" wp14:editId="1120ECB3">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3B1A55FE"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7C61CDE2" w14:textId="77777777" w:rsidR="007C0528" w:rsidRDefault="007C0528">
            <w:pPr>
              <w:pStyle w:val="MastHeadPSC"/>
            </w:pPr>
            <w:r>
              <w:t>Public Service Commission</w:t>
            </w:r>
          </w:p>
          <w:p w14:paraId="4F24446C" w14:textId="77777777" w:rsidR="007C0528" w:rsidRDefault="007C0528">
            <w:pPr>
              <w:pStyle w:val="MastHeadAddress"/>
            </w:pPr>
            <w:r>
              <w:t>Capital Circle Office Center ● 2540 Shumard Oak Boulevard</w:t>
            </w:r>
            <w:r>
              <w:br/>
              <w:t>Tallahassee, Florida 32399-0850</w:t>
            </w:r>
          </w:p>
          <w:p w14:paraId="3D61BDAC" w14:textId="77777777" w:rsidR="007C0528" w:rsidRDefault="007C0528">
            <w:pPr>
              <w:pStyle w:val="MastHeadMemorandum"/>
            </w:pPr>
            <w:r>
              <w:t>-M-E-M-O-R-A-N-D-U-M-</w:t>
            </w:r>
          </w:p>
          <w:p w14:paraId="69B6528A" w14:textId="77777777" w:rsidR="007C0528" w:rsidRDefault="007C0528">
            <w:pPr>
              <w:pStyle w:val="MemoHeading"/>
            </w:pPr>
          </w:p>
        </w:tc>
      </w:tr>
      <w:tr w:rsidR="007C0528" w14:paraId="10CE0AD9"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39D84698"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39190B2A" w14:textId="77777777" w:rsidR="007C0528" w:rsidRDefault="009F1F96" w:rsidP="009F1F96">
            <w:pPr>
              <w:pStyle w:val="MemoHeading"/>
            </w:pPr>
            <w:bookmarkStart w:id="1" w:name="FilingDate"/>
            <w:r>
              <w:t>April 23,</w:t>
            </w:r>
            <w:r w:rsidR="000616F1">
              <w:t xml:space="preserve"> 2026</w:t>
            </w:r>
            <w:bookmarkEnd w:id="1"/>
          </w:p>
        </w:tc>
      </w:tr>
      <w:tr w:rsidR="007C0528" w14:paraId="4B8CE3C1" w14:textId="77777777">
        <w:tc>
          <w:tcPr>
            <w:tcW w:w="1254" w:type="dxa"/>
            <w:tcBorders>
              <w:top w:val="nil"/>
              <w:left w:val="nil"/>
              <w:bottom w:val="nil"/>
              <w:right w:val="nil"/>
            </w:tcBorders>
            <w:shd w:val="clear" w:color="auto" w:fill="auto"/>
            <w:tcMar>
              <w:top w:w="288" w:type="dxa"/>
              <w:bottom w:w="0" w:type="dxa"/>
              <w:right w:w="0" w:type="dxa"/>
            </w:tcMar>
          </w:tcPr>
          <w:p w14:paraId="4B82F056"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794AF459" w14:textId="77777777" w:rsidR="007C0528" w:rsidRDefault="007C0528" w:rsidP="0093658B">
            <w:pPr>
              <w:pStyle w:val="MemoHeading"/>
            </w:pPr>
            <w:r>
              <w:t>Office of Commission Clerk (</w:t>
            </w:r>
            <w:r w:rsidR="004E69B5">
              <w:t>Teitzman</w:t>
            </w:r>
            <w:r>
              <w:t>)</w:t>
            </w:r>
          </w:p>
        </w:tc>
      </w:tr>
      <w:tr w:rsidR="007C0528" w14:paraId="192C4751" w14:textId="77777777">
        <w:tc>
          <w:tcPr>
            <w:tcW w:w="1254" w:type="dxa"/>
            <w:tcBorders>
              <w:top w:val="nil"/>
              <w:left w:val="nil"/>
              <w:bottom w:val="nil"/>
              <w:right w:val="nil"/>
            </w:tcBorders>
            <w:shd w:val="clear" w:color="auto" w:fill="auto"/>
            <w:tcMar>
              <w:top w:w="288" w:type="dxa"/>
              <w:right w:w="0" w:type="dxa"/>
            </w:tcMar>
          </w:tcPr>
          <w:p w14:paraId="770A52D4"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6218888C" w14:textId="77777777" w:rsidR="000616F1" w:rsidRDefault="000616F1">
            <w:pPr>
              <w:pStyle w:val="MemoHeading"/>
            </w:pPr>
            <w:bookmarkStart w:id="2" w:name="From"/>
            <w:r>
              <w:t>Division of Ec</w:t>
            </w:r>
            <w:r w:rsidR="00643E07">
              <w:t>onomics (Nguyen, Hampson</w:t>
            </w:r>
            <w:r>
              <w:t>)</w:t>
            </w:r>
          </w:p>
          <w:p w14:paraId="623B54AC" w14:textId="77777777" w:rsidR="007C0528" w:rsidRDefault="000616F1">
            <w:pPr>
              <w:pStyle w:val="MemoHeading"/>
            </w:pPr>
            <w:r>
              <w:t>Office of the General Counsel (Brownless)</w:t>
            </w:r>
            <w:bookmarkEnd w:id="2"/>
          </w:p>
        </w:tc>
      </w:tr>
      <w:tr w:rsidR="007C0528" w14:paraId="290A17EA" w14:textId="77777777">
        <w:tc>
          <w:tcPr>
            <w:tcW w:w="1254" w:type="dxa"/>
            <w:tcBorders>
              <w:top w:val="nil"/>
              <w:left w:val="nil"/>
              <w:bottom w:val="nil"/>
              <w:right w:val="nil"/>
            </w:tcBorders>
            <w:shd w:val="clear" w:color="auto" w:fill="auto"/>
            <w:tcMar>
              <w:top w:w="288" w:type="dxa"/>
              <w:right w:w="0" w:type="dxa"/>
            </w:tcMar>
          </w:tcPr>
          <w:p w14:paraId="52B8B96E"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13AE83FC" w14:textId="77777777" w:rsidR="007C0528" w:rsidRDefault="000616F1">
            <w:pPr>
              <w:pStyle w:val="MemoHeadingRe"/>
            </w:pPr>
            <w:bookmarkStart w:id="3" w:name="Re"/>
            <w:r>
              <w:t>Docket No. 20260046-EI – Petition for approval of revised underground residential distribution tariffs, by Duke Energy Florida, LLC.</w:t>
            </w:r>
            <w:bookmarkEnd w:id="3"/>
          </w:p>
        </w:tc>
      </w:tr>
      <w:tr w:rsidR="007C0528" w14:paraId="089F8C7D" w14:textId="77777777">
        <w:tc>
          <w:tcPr>
            <w:tcW w:w="1254" w:type="dxa"/>
            <w:tcBorders>
              <w:top w:val="nil"/>
              <w:left w:val="nil"/>
              <w:bottom w:val="nil"/>
              <w:right w:val="nil"/>
            </w:tcBorders>
            <w:shd w:val="clear" w:color="auto" w:fill="auto"/>
            <w:tcMar>
              <w:top w:w="288" w:type="dxa"/>
              <w:bottom w:w="0" w:type="dxa"/>
              <w:right w:w="0" w:type="dxa"/>
            </w:tcMar>
          </w:tcPr>
          <w:p w14:paraId="03443CC9"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6BDC9726" w14:textId="77777777" w:rsidR="007C0528" w:rsidRDefault="000616F1" w:rsidP="00D82629">
            <w:pPr>
              <w:pStyle w:val="MemoHeading"/>
            </w:pPr>
            <w:bookmarkStart w:id="4" w:name="AgendaDate"/>
            <w:r>
              <w:t>05/05/26</w:t>
            </w:r>
            <w:bookmarkEnd w:id="4"/>
            <w:r w:rsidR="007C0528">
              <w:t xml:space="preserve"> – </w:t>
            </w:r>
            <w:bookmarkStart w:id="5" w:name="PermittedStatus"/>
            <w:r>
              <w:t xml:space="preserve">Regular Agenda – </w:t>
            </w:r>
            <w:r w:rsidR="00D82629">
              <w:t>Tariff Suspension –</w:t>
            </w:r>
            <w:bookmarkEnd w:id="5"/>
            <w:r w:rsidR="00D82629">
              <w:t xml:space="preserve"> Participation is at the discretion of the Commission</w:t>
            </w:r>
          </w:p>
        </w:tc>
      </w:tr>
      <w:tr w:rsidR="007C0528" w14:paraId="0DBBC1B3" w14:textId="77777777">
        <w:tc>
          <w:tcPr>
            <w:tcW w:w="3690" w:type="dxa"/>
            <w:gridSpan w:val="3"/>
            <w:tcBorders>
              <w:top w:val="nil"/>
              <w:left w:val="nil"/>
              <w:bottom w:val="nil"/>
              <w:right w:val="nil"/>
            </w:tcBorders>
            <w:shd w:val="clear" w:color="auto" w:fill="auto"/>
            <w:tcMar>
              <w:top w:w="288" w:type="dxa"/>
              <w:bottom w:w="0" w:type="dxa"/>
              <w:right w:w="0" w:type="dxa"/>
            </w:tcMar>
          </w:tcPr>
          <w:p w14:paraId="6BDD4F61"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243B3061" w14:textId="15283E18" w:rsidR="007C0528" w:rsidRDefault="00770B8B">
            <w:pPr>
              <w:pStyle w:val="MemoHeading"/>
            </w:pPr>
            <w:bookmarkStart w:id="6" w:name="CommissionersAssigned"/>
            <w:bookmarkEnd w:id="6"/>
            <w:r>
              <w:t>All Commissioners</w:t>
            </w:r>
          </w:p>
        </w:tc>
      </w:tr>
      <w:tr w:rsidR="007C0528" w14:paraId="44134C06" w14:textId="77777777">
        <w:tc>
          <w:tcPr>
            <w:tcW w:w="3690" w:type="dxa"/>
            <w:gridSpan w:val="3"/>
            <w:tcBorders>
              <w:top w:val="nil"/>
              <w:left w:val="nil"/>
              <w:bottom w:val="nil"/>
              <w:right w:val="nil"/>
            </w:tcBorders>
            <w:shd w:val="clear" w:color="auto" w:fill="auto"/>
            <w:tcMar>
              <w:top w:w="288" w:type="dxa"/>
              <w:bottom w:w="0" w:type="dxa"/>
              <w:right w:w="0" w:type="dxa"/>
            </w:tcMar>
          </w:tcPr>
          <w:p w14:paraId="770295F0"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393F14F2" w14:textId="3A51A0DB" w:rsidR="007C0528" w:rsidRDefault="00770B8B">
            <w:pPr>
              <w:pStyle w:val="MemoHeading"/>
            </w:pPr>
            <w:r>
              <w:t>Administrative</w:t>
            </w:r>
          </w:p>
        </w:tc>
      </w:tr>
      <w:tr w:rsidR="007C0528" w14:paraId="308D1192"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3358604A"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6072D61D" w14:textId="77777777" w:rsidR="007C0528" w:rsidRDefault="00D82629">
            <w:pPr>
              <w:pStyle w:val="MemoHeading"/>
            </w:pPr>
            <w:bookmarkStart w:id="8" w:name="CriticalDates"/>
            <w:r>
              <w:t>05/31</w:t>
            </w:r>
            <w:r w:rsidR="000616F1">
              <w:t>/26 (60-Day Suspension Date)</w:t>
            </w:r>
            <w:bookmarkEnd w:id="8"/>
          </w:p>
        </w:tc>
      </w:tr>
      <w:tr w:rsidR="007C0528" w14:paraId="38E7B74D"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2EE7CB42"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0D6D65D1" w14:textId="77777777" w:rsidR="007C0528" w:rsidRDefault="000616F1">
            <w:pPr>
              <w:pStyle w:val="MemoHeading"/>
            </w:pPr>
            <w:bookmarkStart w:id="9" w:name="SpecialInstructions"/>
            <w:r>
              <w:t>None</w:t>
            </w:r>
            <w:bookmarkEnd w:id="9"/>
          </w:p>
        </w:tc>
      </w:tr>
    </w:tbl>
    <w:p w14:paraId="2C6FDD8A" w14:textId="77777777" w:rsidR="007C0528" w:rsidRDefault="007C0528">
      <w:pPr>
        <w:pStyle w:val="BodyText"/>
      </w:pPr>
    </w:p>
    <w:p w14:paraId="5A92C56E"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4BAD060B" w14:textId="18157623" w:rsidR="0068481F" w:rsidRDefault="00760BDB" w:rsidP="007428B5">
      <w:pPr>
        <w:pStyle w:val="BodyText"/>
      </w:pPr>
      <w:r>
        <w:t xml:space="preserve">On March 31, 2026, Duke Energy Florida, LLC (DEF) filed a petition for approval of revisions to its underground residential differential tariffs (URD) and associated charges. </w:t>
      </w:r>
      <w:r w:rsidR="007428B5" w:rsidRPr="007428B5">
        <w:t>These tariffs</w:t>
      </w:r>
      <w:r w:rsidR="007428B5">
        <w:t xml:space="preserve"> </w:t>
      </w:r>
      <w:r w:rsidR="007428B5" w:rsidRPr="007428B5">
        <w:t xml:space="preserve">represent the estimated additional cost, if any, DEF incurs to provide underground service </w:t>
      </w:r>
      <w:r w:rsidR="007428B5">
        <w:t xml:space="preserve">in </w:t>
      </w:r>
      <w:r w:rsidR="007428B5" w:rsidRPr="007428B5">
        <w:t>place of overhead service in new residential subdivisions. The petition was filed pursuant to Rule</w:t>
      </w:r>
      <w:r w:rsidR="007428B5">
        <w:t xml:space="preserve"> </w:t>
      </w:r>
      <w:r w:rsidR="007428B5" w:rsidRPr="007428B5">
        <w:t xml:space="preserve">25-6.078(3), Florida </w:t>
      </w:r>
      <w:r w:rsidR="00585E22">
        <w:t>Administrative Code (F</w:t>
      </w:r>
      <w:r w:rsidR="007428B5" w:rsidRPr="007428B5">
        <w:t xml:space="preserve">.A.C.), which states, in part, </w:t>
      </w:r>
      <w:r w:rsidR="00212D76">
        <w:t>“</w:t>
      </w:r>
      <w:r w:rsidR="007428B5" w:rsidRPr="007428B5">
        <w:t>If the cost differentia</w:t>
      </w:r>
      <w:r w:rsidR="007428B5">
        <w:t xml:space="preserve">l </w:t>
      </w:r>
      <w:r w:rsidR="007428B5" w:rsidRPr="007428B5">
        <w:t>as calculated in Form PSC 1031 (08/20) varies from the Commission-approved differentia</w:t>
      </w:r>
      <w:r w:rsidR="007428B5">
        <w:t xml:space="preserve">l by </w:t>
      </w:r>
      <w:r w:rsidR="007428B5" w:rsidRPr="007428B5">
        <w:t>plus or minus 10 percent or more, the utility shall file a written policy and supporting data a</w:t>
      </w:r>
      <w:r w:rsidR="007428B5">
        <w:t xml:space="preserve">nd </w:t>
      </w:r>
      <w:r w:rsidR="007428B5" w:rsidRPr="007428B5">
        <w:t xml:space="preserve">analyses as prescribed in subsections (1), (4) and (5) of this rule on or before April 1 of </w:t>
      </w:r>
      <w:r w:rsidR="007428B5">
        <w:t xml:space="preserve">the </w:t>
      </w:r>
      <w:r w:rsidR="008B65D7">
        <w:t>following year.”</w:t>
      </w:r>
      <w:r w:rsidR="000E131E">
        <w:t xml:space="preserve"> </w:t>
      </w:r>
      <w:r w:rsidR="008B65D7">
        <w:t>DEF</w:t>
      </w:r>
      <w:r w:rsidR="00017F8C">
        <w:t xml:space="preserve"> has filed </w:t>
      </w:r>
      <w:r w:rsidR="008B65D7">
        <w:t xml:space="preserve">the instant petition which includes </w:t>
      </w:r>
      <w:r w:rsidR="00017F8C">
        <w:t>updated URD tariff sheets</w:t>
      </w:r>
      <w:r w:rsidR="0029598F">
        <w:t xml:space="preserve"> to be consistent with the ten percent plus or minus filing requirement.</w:t>
      </w:r>
    </w:p>
    <w:p w14:paraId="47CDC237" w14:textId="6FB956B8" w:rsidR="00B478AE" w:rsidRDefault="00E2515C" w:rsidP="002207EF">
      <w:pPr>
        <w:pStyle w:val="BodyText"/>
      </w:pPr>
      <w:r w:rsidRPr="00A872A1">
        <w:lastRenderedPageBreak/>
        <w:t>In its petition, DEF is proposing revised URD charges reflecting changes in cost differentials</w:t>
      </w:r>
      <w:r w:rsidR="002C0660" w:rsidRPr="00A872A1">
        <w:t xml:space="preserve"> </w:t>
      </w:r>
      <w:r w:rsidRPr="00A872A1">
        <w:t>between overhead and underground services. For example,</w:t>
      </w:r>
      <w:r w:rsidR="00B55543">
        <w:t xml:space="preserve"> in Exhibit D of the petition,</w:t>
      </w:r>
      <w:r w:rsidR="00756EFB">
        <w:t xml:space="preserve"> DEF states that</w:t>
      </w:r>
      <w:r w:rsidRPr="00A872A1">
        <w:t xml:space="preserve"> revisions are proposed for the per</w:t>
      </w:r>
      <w:r w:rsidR="002C0660" w:rsidRPr="00A872A1">
        <w:t xml:space="preserve"> </w:t>
      </w:r>
      <w:r w:rsidRPr="00A872A1">
        <w:t xml:space="preserve">foot charges for the feeder differential where DEF is installing the </w:t>
      </w:r>
      <w:r w:rsidR="00A872A1" w:rsidRPr="00A872A1">
        <w:t>conduit</w:t>
      </w:r>
      <w:r w:rsidRPr="00A872A1">
        <w:t xml:space="preserve"> and for the per lot</w:t>
      </w:r>
      <w:r w:rsidR="002C0660" w:rsidRPr="00A872A1">
        <w:t xml:space="preserve"> </w:t>
      </w:r>
      <w:r w:rsidRPr="00A872A1">
        <w:t>charge for high-density subdivisions where DEF is supplying</w:t>
      </w:r>
      <w:r w:rsidR="002C0660" w:rsidRPr="00A872A1">
        <w:t xml:space="preserve"> and installing the underground </w:t>
      </w:r>
      <w:r w:rsidRPr="00A872A1">
        <w:t xml:space="preserve">conduit. </w:t>
      </w:r>
      <w:r w:rsidR="00756EFB">
        <w:t>Also</w:t>
      </w:r>
      <w:r w:rsidR="00295CE0">
        <w:t>,</w:t>
      </w:r>
      <w:r w:rsidR="00756EFB">
        <w:t xml:space="preserve"> in Exhibit D of the petition, DEF states </w:t>
      </w:r>
      <w:r w:rsidR="00B478AE">
        <w:t>that m</w:t>
      </w:r>
      <w:r w:rsidR="002207EF" w:rsidRPr="00A872A1">
        <w:t xml:space="preserve">aterial and labor costs have increased for both overhead and underground, though the overhead material and labor costs have escalated at a higher percentage than underground costs resulting in lower differential costs. </w:t>
      </w:r>
    </w:p>
    <w:p w14:paraId="3BA0993D" w14:textId="77777777" w:rsidR="00E2515C" w:rsidRDefault="00E2515C" w:rsidP="00E2515C">
      <w:pPr>
        <w:pStyle w:val="BodyText"/>
      </w:pPr>
      <w:r w:rsidRPr="00A872A1">
        <w:t>This recommendation is to suspend the proposed tariffs.</w:t>
      </w:r>
      <w:r w:rsidR="00B478AE">
        <w:t xml:space="preserve"> </w:t>
      </w:r>
      <w:r w:rsidRPr="00A872A1">
        <w:t>The Commission has jurisdiction over this matter pursuant to S</w:t>
      </w:r>
      <w:r w:rsidR="002C0660" w:rsidRPr="00A872A1">
        <w:t xml:space="preserve">ections 366.03, 366.04, 366.05, </w:t>
      </w:r>
      <w:r w:rsidRPr="00A872A1">
        <w:t>and 366.06, Florida Statutes (F.S.).</w:t>
      </w:r>
      <w:r w:rsidR="002C0660">
        <w:t xml:space="preserve">   </w:t>
      </w:r>
    </w:p>
    <w:p w14:paraId="1B238A29" w14:textId="77777777" w:rsidR="007C0528" w:rsidRDefault="007C0528" w:rsidP="0068481F"/>
    <w:bookmarkEnd w:id="11"/>
    <w:p w14:paraId="3D7807EF"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40D528C7" w14:textId="77777777" w:rsidR="007C0528" w:rsidRDefault="007C0528">
      <w:pPr>
        <w:pStyle w:val="RecommendationMajorSectionHeading"/>
      </w:pPr>
      <w:bookmarkStart w:id="15" w:name="DiscussionOfIssues"/>
      <w:r>
        <w:t>Discussion of Issues</w:t>
      </w:r>
    </w:p>
    <w:bookmarkEnd w:id="15"/>
    <w:p w14:paraId="4C8A22AC" w14:textId="5A5B4E40" w:rsidR="005E4F20" w:rsidRDefault="005E4F20">
      <w:pPr>
        <w:pStyle w:val="IssueHeading"/>
        <w:rPr>
          <w:vanish/>
          <w:specVanish/>
        </w:rPr>
      </w:pPr>
      <w:r w:rsidRPr="004C3641">
        <w:t xml:space="preserve">Issue </w:t>
      </w:r>
      <w:fldSimple w:instr=" SEQ Issue \* MERGEFORMAT ">
        <w:r w:rsidR="00111401">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111401">
        <w:rPr>
          <w:noProof/>
        </w:rPr>
        <w:instrText>1</w:instrText>
      </w:r>
      <w:r>
        <w:fldChar w:fldCharType="end"/>
      </w:r>
      <w:r>
        <w:tab/>
        <w:instrText xml:space="preserve">(Nguyen)" \l 1 </w:instrText>
      </w:r>
      <w:r>
        <w:fldChar w:fldCharType="end"/>
      </w:r>
      <w:r>
        <w:t> </w:t>
      </w:r>
    </w:p>
    <w:p w14:paraId="6A610C27" w14:textId="77777777" w:rsidR="005E4F20" w:rsidRDefault="005E4F20">
      <w:pPr>
        <w:pStyle w:val="BodyText"/>
      </w:pPr>
      <w:r>
        <w:t> Should DEF’s proposed underground differential tariffs be suspended?</w:t>
      </w:r>
    </w:p>
    <w:p w14:paraId="281C350C" w14:textId="77777777" w:rsidR="005E4F20" w:rsidRPr="004C3641" w:rsidRDefault="005E4F20">
      <w:pPr>
        <w:pStyle w:val="IssueSubsectionHeading"/>
        <w:rPr>
          <w:vanish/>
          <w:specVanish/>
        </w:rPr>
      </w:pPr>
      <w:r w:rsidRPr="004C3641">
        <w:t>Recommendation: </w:t>
      </w:r>
    </w:p>
    <w:p w14:paraId="5D2BD105" w14:textId="77777777" w:rsidR="005E4F20" w:rsidRDefault="005E4F20">
      <w:pPr>
        <w:pStyle w:val="BodyText"/>
      </w:pPr>
      <w:r>
        <w:t> Yes. Staff recommends that the</w:t>
      </w:r>
      <w:r w:rsidR="00B478AE">
        <w:t xml:space="preserve"> proposed</w:t>
      </w:r>
      <w:r>
        <w:t xml:space="preserve"> tariffs be suspended to allow staff sufficient time to review the petition and gather all pertinent information in order to present the Commission with an informed recommendation on the tariff proposals. (Nguyen)</w:t>
      </w:r>
    </w:p>
    <w:p w14:paraId="74FE877A" w14:textId="77777777" w:rsidR="005E4F20" w:rsidRPr="004C3641" w:rsidRDefault="005E4F20">
      <w:pPr>
        <w:pStyle w:val="IssueSubsectionHeading"/>
        <w:rPr>
          <w:vanish/>
          <w:specVanish/>
        </w:rPr>
      </w:pPr>
      <w:r w:rsidRPr="004C3641">
        <w:t>Staff Analysis: </w:t>
      </w:r>
    </w:p>
    <w:p w14:paraId="63A04B47" w14:textId="77777777" w:rsidR="004924B1" w:rsidRDefault="005E4F20" w:rsidP="00E275D8">
      <w:pPr>
        <w:pStyle w:val="BodyText"/>
      </w:pPr>
      <w:r>
        <w:t xml:space="preserve"> Staff recommends that the </w:t>
      </w:r>
      <w:r w:rsidR="00B478AE">
        <w:t xml:space="preserve">proposed </w:t>
      </w:r>
      <w:r>
        <w:t xml:space="preserve">tariffs be suspended to allow staff sufficient time to review the petition and gather all pertinent information in order to present the Commission with an informed recommendation on the tariff proposals. </w:t>
      </w:r>
    </w:p>
    <w:p w14:paraId="1774DBA8" w14:textId="77777777" w:rsidR="00E06484" w:rsidRDefault="005E4F20" w:rsidP="00E275D8">
      <w:pPr>
        <w:pStyle w:val="BodyText"/>
      </w:pPr>
      <w:r>
        <w:t>Pursuant to Section 366.06(3), F.S., the Commission may withhold consent to the operation of all or any portion of a new rate schedule, delivering to the utility requesting such a change a reason or written statement of good cause for doing so within 60 days. Staff believes that the reason stated above is a good cause consistent with the requirement of Section 366.06(3), F.S.</w:t>
      </w:r>
    </w:p>
    <w:p w14:paraId="791B6EFB" w14:textId="5ADAFCA7" w:rsidR="009B0B3A" w:rsidRDefault="009B0B3A">
      <w:pPr>
        <w:pStyle w:val="IssueHeading"/>
        <w:rPr>
          <w:vanish/>
          <w:specVanish/>
        </w:rPr>
      </w:pPr>
      <w:r w:rsidRPr="004C3641">
        <w:rPr>
          <w:b w:val="0"/>
          <w:i w:val="0"/>
        </w:rPr>
        <w:br w:type="page"/>
      </w:r>
      <w:r w:rsidRPr="004C3641">
        <w:t xml:space="preserve">Issue </w:t>
      </w:r>
      <w:fldSimple w:instr=" SEQ Issue \* MERGEFORMAT ">
        <w:r w:rsidR="00111401">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111401">
        <w:rPr>
          <w:noProof/>
        </w:rPr>
        <w:instrText>2</w:instrText>
      </w:r>
      <w:r>
        <w:fldChar w:fldCharType="end"/>
      </w:r>
      <w:r>
        <w:tab/>
        <w:instrText xml:space="preserve">(Brownless)" \l 1 </w:instrText>
      </w:r>
      <w:r>
        <w:fldChar w:fldCharType="end"/>
      </w:r>
      <w:r>
        <w:t> </w:t>
      </w:r>
    </w:p>
    <w:p w14:paraId="2C7D80CE" w14:textId="77777777" w:rsidR="009B0B3A" w:rsidRDefault="009B0B3A">
      <w:pPr>
        <w:pStyle w:val="BodyText"/>
      </w:pPr>
      <w:r>
        <w:t> Should this docket be closed?</w:t>
      </w:r>
    </w:p>
    <w:p w14:paraId="65C32EC8" w14:textId="77777777" w:rsidR="009B0B3A" w:rsidRPr="004C3641" w:rsidRDefault="009B0B3A">
      <w:pPr>
        <w:pStyle w:val="IssueSubsectionHeading"/>
        <w:rPr>
          <w:vanish/>
          <w:specVanish/>
        </w:rPr>
      </w:pPr>
      <w:r w:rsidRPr="004C3641">
        <w:t>Recommendation: </w:t>
      </w:r>
    </w:p>
    <w:p w14:paraId="0BE6A798" w14:textId="77777777" w:rsidR="009B0B3A" w:rsidRDefault="009B0B3A" w:rsidP="009B0B3A">
      <w:pPr>
        <w:pStyle w:val="BodyText"/>
      </w:pPr>
      <w:r>
        <w:t> This docket should remain open pending the Commission’s decision on the proposed tariffs. (Brownless)</w:t>
      </w:r>
    </w:p>
    <w:p w14:paraId="2AB82C24" w14:textId="77777777" w:rsidR="009B0B3A" w:rsidRPr="004C3641" w:rsidRDefault="009B0B3A">
      <w:pPr>
        <w:pStyle w:val="IssueSubsectionHeading"/>
        <w:rPr>
          <w:vanish/>
          <w:specVanish/>
        </w:rPr>
      </w:pPr>
      <w:r w:rsidRPr="004C3641">
        <w:t>Staff Analysis: </w:t>
      </w:r>
    </w:p>
    <w:p w14:paraId="76822436" w14:textId="77777777" w:rsidR="009B0B3A" w:rsidRDefault="009B0B3A" w:rsidP="009B0B3A">
      <w:pPr>
        <w:pStyle w:val="BodyText"/>
      </w:pPr>
      <w:r>
        <w:t> This docket should remain open pending the Commission’s decision on the proposed tariffs.</w:t>
      </w:r>
    </w:p>
    <w:p w14:paraId="79B4223A" w14:textId="77777777" w:rsidR="00D50E39" w:rsidRDefault="00D50E39" w:rsidP="00E275D8">
      <w:pPr>
        <w:pStyle w:val="BodyText"/>
      </w:pPr>
    </w:p>
    <w:sectPr w:rsidR="00D50E39"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AFD3A" w14:textId="77777777" w:rsidR="00AE74F4" w:rsidRDefault="00AE74F4">
      <w:r>
        <w:separator/>
      </w:r>
    </w:p>
  </w:endnote>
  <w:endnote w:type="continuationSeparator" w:id="0">
    <w:p w14:paraId="79F998ED" w14:textId="77777777" w:rsidR="00AE74F4" w:rsidRDefault="00AE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941E2" w14:textId="77777777" w:rsidR="00111401" w:rsidRDefault="00111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6436A" w14:textId="02A140A1"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372C8C">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3244E" w14:textId="77777777" w:rsidR="00111401" w:rsidRDefault="001114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76A6E"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3060A" w14:textId="77777777" w:rsidR="00AE74F4" w:rsidRDefault="00AE74F4">
      <w:r>
        <w:separator/>
      </w:r>
    </w:p>
  </w:footnote>
  <w:footnote w:type="continuationSeparator" w:id="0">
    <w:p w14:paraId="69655BE9" w14:textId="77777777" w:rsidR="00AE74F4" w:rsidRDefault="00AE7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7DEFB" w14:textId="77777777" w:rsidR="00111401" w:rsidRDefault="00111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9A56A" w14:textId="77777777" w:rsidR="00BC402E" w:rsidRDefault="000616F1"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20260046-EI</w:t>
    </w:r>
    <w:bookmarkEnd w:id="14"/>
  </w:p>
  <w:p w14:paraId="123B7DD8" w14:textId="4F730C9D" w:rsidR="00BC402E" w:rsidRDefault="00BC402E">
    <w:pPr>
      <w:pStyle w:val="Header"/>
    </w:pPr>
    <w:r>
      <w:t xml:space="preserve">Date: </w:t>
    </w:r>
    <w:fldSimple w:instr=" REF FilingDate ">
      <w:r w:rsidR="00111401">
        <w:t>April 23,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3FB19" w14:textId="77777777" w:rsidR="00111401" w:rsidRDefault="001114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67172" w14:textId="6EFA04CD"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111401">
      <w:t>Docket No.</w:t>
    </w:r>
    <w:r>
      <w:fldChar w:fldCharType="end"/>
    </w:r>
    <w:r>
      <w:t xml:space="preserve"> </w:t>
    </w:r>
    <w:r>
      <w:fldChar w:fldCharType="begin"/>
    </w:r>
    <w:r>
      <w:instrText xml:space="preserve"> REF DocketList</w:instrText>
    </w:r>
    <w:r>
      <w:fldChar w:fldCharType="separate"/>
    </w:r>
    <w:r w:rsidR="00111401">
      <w:t>20260046-EI</w:t>
    </w:r>
    <w:r>
      <w:fldChar w:fldCharType="end"/>
    </w:r>
    <w:r>
      <w:tab/>
      <w:t xml:space="preserve">Issue </w:t>
    </w:r>
    <w:r w:rsidR="009918C6">
      <w:fldChar w:fldCharType="begin"/>
    </w:r>
    <w:r w:rsidR="009918C6">
      <w:instrText xml:space="preserve"> Seq Issue \c \* </w:instrText>
    </w:r>
    <w:r w:rsidR="009918C6">
      <w:instrText xml:space="preserve">Arabic </w:instrText>
    </w:r>
    <w:r w:rsidR="009918C6">
      <w:fldChar w:fldCharType="separate"/>
    </w:r>
    <w:r w:rsidR="00372C8C">
      <w:rPr>
        <w:noProof/>
      </w:rPr>
      <w:t>2</w:t>
    </w:r>
    <w:r w:rsidR="009918C6">
      <w:rPr>
        <w:noProof/>
      </w:rPr>
      <w:fldChar w:fldCharType="end"/>
    </w:r>
  </w:p>
  <w:p w14:paraId="564B0924" w14:textId="0FBEE9C6" w:rsidR="00BC402E" w:rsidRDefault="00BC402E">
    <w:pPr>
      <w:pStyle w:val="Header"/>
    </w:pPr>
    <w:r>
      <w:t xml:space="preserve">Date: </w:t>
    </w:r>
    <w:fldSimple w:instr=" REF FilingDate ">
      <w:r w:rsidR="00111401">
        <w:t>April 23,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19DFA"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3481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0616F1"/>
    <w:rsid w:val="000043D5"/>
    <w:rsid w:val="00006170"/>
    <w:rsid w:val="00010E37"/>
    <w:rsid w:val="000172DA"/>
    <w:rsid w:val="00017F8C"/>
    <w:rsid w:val="00022008"/>
    <w:rsid w:val="00022337"/>
    <w:rsid w:val="00023A0E"/>
    <w:rsid w:val="000247C5"/>
    <w:rsid w:val="000277C2"/>
    <w:rsid w:val="00030660"/>
    <w:rsid w:val="00035B48"/>
    <w:rsid w:val="00036CE2"/>
    <w:rsid w:val="000437FE"/>
    <w:rsid w:val="00046214"/>
    <w:rsid w:val="000513BE"/>
    <w:rsid w:val="00051573"/>
    <w:rsid w:val="0005451B"/>
    <w:rsid w:val="000616F1"/>
    <w:rsid w:val="00065A06"/>
    <w:rsid w:val="000666F3"/>
    <w:rsid w:val="00066C79"/>
    <w:rsid w:val="00070DCB"/>
    <w:rsid w:val="00072CCA"/>
    <w:rsid w:val="00073120"/>
    <w:rsid w:val="000764D0"/>
    <w:rsid w:val="000828D3"/>
    <w:rsid w:val="00087A0E"/>
    <w:rsid w:val="00090DB4"/>
    <w:rsid w:val="00097804"/>
    <w:rsid w:val="000A2B57"/>
    <w:rsid w:val="000A418B"/>
    <w:rsid w:val="000B0ACE"/>
    <w:rsid w:val="000B57CB"/>
    <w:rsid w:val="000C4431"/>
    <w:rsid w:val="000C5435"/>
    <w:rsid w:val="000C6607"/>
    <w:rsid w:val="000D1C06"/>
    <w:rsid w:val="000D3043"/>
    <w:rsid w:val="000D4319"/>
    <w:rsid w:val="000D4831"/>
    <w:rsid w:val="000E131E"/>
    <w:rsid w:val="000E24FA"/>
    <w:rsid w:val="000E338A"/>
    <w:rsid w:val="000E4392"/>
    <w:rsid w:val="000E620E"/>
    <w:rsid w:val="000F244D"/>
    <w:rsid w:val="000F374A"/>
    <w:rsid w:val="000F4DAF"/>
    <w:rsid w:val="000F53C1"/>
    <w:rsid w:val="00105BA1"/>
    <w:rsid w:val="001066FE"/>
    <w:rsid w:val="001076AF"/>
    <w:rsid w:val="001109F6"/>
    <w:rsid w:val="00111401"/>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80254"/>
    <w:rsid w:val="00185D27"/>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C54D8"/>
    <w:rsid w:val="001D0D3E"/>
    <w:rsid w:val="001D2817"/>
    <w:rsid w:val="001D2899"/>
    <w:rsid w:val="001E14A3"/>
    <w:rsid w:val="001E2E50"/>
    <w:rsid w:val="001E390F"/>
    <w:rsid w:val="001E7FF4"/>
    <w:rsid w:val="001F0BD4"/>
    <w:rsid w:val="001F2245"/>
    <w:rsid w:val="001F2C63"/>
    <w:rsid w:val="001F48C7"/>
    <w:rsid w:val="001F6DA1"/>
    <w:rsid w:val="00200178"/>
    <w:rsid w:val="00204200"/>
    <w:rsid w:val="002044E6"/>
    <w:rsid w:val="00205C82"/>
    <w:rsid w:val="00205DC2"/>
    <w:rsid w:val="00212B17"/>
    <w:rsid w:val="00212D76"/>
    <w:rsid w:val="002163B6"/>
    <w:rsid w:val="00217215"/>
    <w:rsid w:val="00220732"/>
    <w:rsid w:val="002207EF"/>
    <w:rsid w:val="0022121F"/>
    <w:rsid w:val="00221D32"/>
    <w:rsid w:val="00222AC1"/>
    <w:rsid w:val="00225C3F"/>
    <w:rsid w:val="00226ED6"/>
    <w:rsid w:val="00244D8F"/>
    <w:rsid w:val="00263D44"/>
    <w:rsid w:val="002702AD"/>
    <w:rsid w:val="00281EB4"/>
    <w:rsid w:val="00292D82"/>
    <w:rsid w:val="00293EE7"/>
    <w:rsid w:val="0029598F"/>
    <w:rsid w:val="00295CE0"/>
    <w:rsid w:val="002963CB"/>
    <w:rsid w:val="002B2DAC"/>
    <w:rsid w:val="002B4A01"/>
    <w:rsid w:val="002C0660"/>
    <w:rsid w:val="002C291B"/>
    <w:rsid w:val="002C3C93"/>
    <w:rsid w:val="002C746A"/>
    <w:rsid w:val="002C7E4E"/>
    <w:rsid w:val="002D226D"/>
    <w:rsid w:val="002D74E3"/>
    <w:rsid w:val="002E176B"/>
    <w:rsid w:val="002F6030"/>
    <w:rsid w:val="003001AC"/>
    <w:rsid w:val="003037E1"/>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53B66"/>
    <w:rsid w:val="00355934"/>
    <w:rsid w:val="00357928"/>
    <w:rsid w:val="0036010E"/>
    <w:rsid w:val="003632FD"/>
    <w:rsid w:val="00370F78"/>
    <w:rsid w:val="00372805"/>
    <w:rsid w:val="00372C8C"/>
    <w:rsid w:val="00373180"/>
    <w:rsid w:val="00375AB9"/>
    <w:rsid w:val="0037691E"/>
    <w:rsid w:val="003821A0"/>
    <w:rsid w:val="00385B04"/>
    <w:rsid w:val="003864CF"/>
    <w:rsid w:val="003948AE"/>
    <w:rsid w:val="003A08C0"/>
    <w:rsid w:val="003A22A6"/>
    <w:rsid w:val="003A32EB"/>
    <w:rsid w:val="003A5494"/>
    <w:rsid w:val="003A7309"/>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17AED"/>
    <w:rsid w:val="00420FCA"/>
    <w:rsid w:val="004242E6"/>
    <w:rsid w:val="00427B35"/>
    <w:rsid w:val="00431598"/>
    <w:rsid w:val="004319AD"/>
    <w:rsid w:val="004426B8"/>
    <w:rsid w:val="00444432"/>
    <w:rsid w:val="00447D5C"/>
    <w:rsid w:val="00450202"/>
    <w:rsid w:val="004502B2"/>
    <w:rsid w:val="00455499"/>
    <w:rsid w:val="004649A7"/>
    <w:rsid w:val="00466221"/>
    <w:rsid w:val="00467DBC"/>
    <w:rsid w:val="00471860"/>
    <w:rsid w:val="00471DFE"/>
    <w:rsid w:val="00477026"/>
    <w:rsid w:val="00477730"/>
    <w:rsid w:val="004924B1"/>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2116"/>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80F69"/>
    <w:rsid w:val="00581CA3"/>
    <w:rsid w:val="00585031"/>
    <w:rsid w:val="00585E22"/>
    <w:rsid w:val="00586E8B"/>
    <w:rsid w:val="00587090"/>
    <w:rsid w:val="00587A44"/>
    <w:rsid w:val="00595A5E"/>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4B50"/>
    <w:rsid w:val="005D561B"/>
    <w:rsid w:val="005D578F"/>
    <w:rsid w:val="005D5ECF"/>
    <w:rsid w:val="005E41F5"/>
    <w:rsid w:val="005E4F20"/>
    <w:rsid w:val="005F4238"/>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43E07"/>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2272"/>
    <w:rsid w:val="006E598D"/>
    <w:rsid w:val="006E6EB7"/>
    <w:rsid w:val="006E7972"/>
    <w:rsid w:val="0070437D"/>
    <w:rsid w:val="00704CF1"/>
    <w:rsid w:val="00705B04"/>
    <w:rsid w:val="0071040E"/>
    <w:rsid w:val="00717EE9"/>
    <w:rsid w:val="00724992"/>
    <w:rsid w:val="00724F64"/>
    <w:rsid w:val="00727F90"/>
    <w:rsid w:val="00734820"/>
    <w:rsid w:val="007349DC"/>
    <w:rsid w:val="007428B5"/>
    <w:rsid w:val="0074365E"/>
    <w:rsid w:val="007445EE"/>
    <w:rsid w:val="00744B55"/>
    <w:rsid w:val="007515FD"/>
    <w:rsid w:val="00753AB2"/>
    <w:rsid w:val="00756EFB"/>
    <w:rsid w:val="00760BDB"/>
    <w:rsid w:val="00760D80"/>
    <w:rsid w:val="00761CB4"/>
    <w:rsid w:val="00770B8B"/>
    <w:rsid w:val="00780C09"/>
    <w:rsid w:val="00780DDF"/>
    <w:rsid w:val="007834E9"/>
    <w:rsid w:val="00787DBC"/>
    <w:rsid w:val="0079019A"/>
    <w:rsid w:val="00792935"/>
    <w:rsid w:val="00793FD1"/>
    <w:rsid w:val="007A04A1"/>
    <w:rsid w:val="007A1840"/>
    <w:rsid w:val="007A41DD"/>
    <w:rsid w:val="007B730C"/>
    <w:rsid w:val="007C0528"/>
    <w:rsid w:val="007C08EA"/>
    <w:rsid w:val="007C3D38"/>
    <w:rsid w:val="007D0F35"/>
    <w:rsid w:val="007D1783"/>
    <w:rsid w:val="007D4546"/>
    <w:rsid w:val="007D4FEB"/>
    <w:rsid w:val="007D6146"/>
    <w:rsid w:val="007E0CE7"/>
    <w:rsid w:val="007E5041"/>
    <w:rsid w:val="007E6DAF"/>
    <w:rsid w:val="007F0459"/>
    <w:rsid w:val="007F1193"/>
    <w:rsid w:val="007F417F"/>
    <w:rsid w:val="007F7644"/>
    <w:rsid w:val="008042BD"/>
    <w:rsid w:val="00804E17"/>
    <w:rsid w:val="008050B3"/>
    <w:rsid w:val="008066F1"/>
    <w:rsid w:val="00816624"/>
    <w:rsid w:val="00817202"/>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660CE"/>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B65D7"/>
    <w:rsid w:val="008C04B5"/>
    <w:rsid w:val="008C14FA"/>
    <w:rsid w:val="008C2E1D"/>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16C1"/>
    <w:rsid w:val="00922002"/>
    <w:rsid w:val="009225CB"/>
    <w:rsid w:val="00924020"/>
    <w:rsid w:val="00924BF4"/>
    <w:rsid w:val="009271A7"/>
    <w:rsid w:val="0092762F"/>
    <w:rsid w:val="00933192"/>
    <w:rsid w:val="0093658B"/>
    <w:rsid w:val="00941FC4"/>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3410"/>
    <w:rsid w:val="009A548F"/>
    <w:rsid w:val="009A74E0"/>
    <w:rsid w:val="009A7C96"/>
    <w:rsid w:val="009B0B3A"/>
    <w:rsid w:val="009B483E"/>
    <w:rsid w:val="009B61BF"/>
    <w:rsid w:val="009C3253"/>
    <w:rsid w:val="009C3BC2"/>
    <w:rsid w:val="009C3DB9"/>
    <w:rsid w:val="009C5968"/>
    <w:rsid w:val="009D0436"/>
    <w:rsid w:val="009D46E5"/>
    <w:rsid w:val="009D568A"/>
    <w:rsid w:val="009E7956"/>
    <w:rsid w:val="009F04EC"/>
    <w:rsid w:val="009F1F96"/>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755D"/>
    <w:rsid w:val="00A675AC"/>
    <w:rsid w:val="00A7097D"/>
    <w:rsid w:val="00A7581F"/>
    <w:rsid w:val="00A81274"/>
    <w:rsid w:val="00A82980"/>
    <w:rsid w:val="00A83F88"/>
    <w:rsid w:val="00A85CBE"/>
    <w:rsid w:val="00A86ACA"/>
    <w:rsid w:val="00A872A1"/>
    <w:rsid w:val="00A90058"/>
    <w:rsid w:val="00A92439"/>
    <w:rsid w:val="00A92FB1"/>
    <w:rsid w:val="00A95980"/>
    <w:rsid w:val="00A95A0C"/>
    <w:rsid w:val="00AA2765"/>
    <w:rsid w:val="00AA77B5"/>
    <w:rsid w:val="00AB4D40"/>
    <w:rsid w:val="00AB6C5D"/>
    <w:rsid w:val="00AC3401"/>
    <w:rsid w:val="00AC51A7"/>
    <w:rsid w:val="00AC603B"/>
    <w:rsid w:val="00AD0E89"/>
    <w:rsid w:val="00AD1D87"/>
    <w:rsid w:val="00AD444B"/>
    <w:rsid w:val="00AD5614"/>
    <w:rsid w:val="00AD6C78"/>
    <w:rsid w:val="00AE03F0"/>
    <w:rsid w:val="00AE2EAB"/>
    <w:rsid w:val="00AE4A92"/>
    <w:rsid w:val="00AE74F4"/>
    <w:rsid w:val="00AF13D0"/>
    <w:rsid w:val="00AF3D9B"/>
    <w:rsid w:val="00AF5E0E"/>
    <w:rsid w:val="00AF5F89"/>
    <w:rsid w:val="00AF6C3E"/>
    <w:rsid w:val="00AF6FB4"/>
    <w:rsid w:val="00AF73CB"/>
    <w:rsid w:val="00B002D6"/>
    <w:rsid w:val="00B01178"/>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34FAA"/>
    <w:rsid w:val="00B41AA8"/>
    <w:rsid w:val="00B42B45"/>
    <w:rsid w:val="00B478AE"/>
    <w:rsid w:val="00B516ED"/>
    <w:rsid w:val="00B55543"/>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3791"/>
    <w:rsid w:val="00C17DA2"/>
    <w:rsid w:val="00C210BD"/>
    <w:rsid w:val="00C2575A"/>
    <w:rsid w:val="00C31BB3"/>
    <w:rsid w:val="00C34B5B"/>
    <w:rsid w:val="00C36977"/>
    <w:rsid w:val="00C46628"/>
    <w:rsid w:val="00C467DA"/>
    <w:rsid w:val="00C477D9"/>
    <w:rsid w:val="00C506DF"/>
    <w:rsid w:val="00C530DF"/>
    <w:rsid w:val="00C573DA"/>
    <w:rsid w:val="00C57869"/>
    <w:rsid w:val="00C6097E"/>
    <w:rsid w:val="00C60BA3"/>
    <w:rsid w:val="00C623F7"/>
    <w:rsid w:val="00C6297D"/>
    <w:rsid w:val="00C62A81"/>
    <w:rsid w:val="00C67CD7"/>
    <w:rsid w:val="00C71E00"/>
    <w:rsid w:val="00C72C9D"/>
    <w:rsid w:val="00C75BC5"/>
    <w:rsid w:val="00C77B00"/>
    <w:rsid w:val="00C81670"/>
    <w:rsid w:val="00C81773"/>
    <w:rsid w:val="00C82861"/>
    <w:rsid w:val="00C8396C"/>
    <w:rsid w:val="00C8564E"/>
    <w:rsid w:val="00C86896"/>
    <w:rsid w:val="00C907A8"/>
    <w:rsid w:val="00C90943"/>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C2EBC"/>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362BB"/>
    <w:rsid w:val="00D44E37"/>
    <w:rsid w:val="00D479AE"/>
    <w:rsid w:val="00D50E39"/>
    <w:rsid w:val="00D50FCD"/>
    <w:rsid w:val="00D533E3"/>
    <w:rsid w:val="00D60B16"/>
    <w:rsid w:val="00D60F02"/>
    <w:rsid w:val="00D64A0B"/>
    <w:rsid w:val="00D66E49"/>
    <w:rsid w:val="00D70D71"/>
    <w:rsid w:val="00D72F74"/>
    <w:rsid w:val="00D81563"/>
    <w:rsid w:val="00D82629"/>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DF55C7"/>
    <w:rsid w:val="00E02F1F"/>
    <w:rsid w:val="00E05454"/>
    <w:rsid w:val="00E06484"/>
    <w:rsid w:val="00E06B24"/>
    <w:rsid w:val="00E20A7D"/>
    <w:rsid w:val="00E20ED5"/>
    <w:rsid w:val="00E23FE4"/>
    <w:rsid w:val="00E2515C"/>
    <w:rsid w:val="00E25D4C"/>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B4E42"/>
    <w:rsid w:val="00FC4446"/>
    <w:rsid w:val="00FC5469"/>
    <w:rsid w:val="00FC6D7D"/>
    <w:rsid w:val="00FD002D"/>
    <w:rsid w:val="00FD0CC9"/>
    <w:rsid w:val="00FD16B0"/>
    <w:rsid w:val="00FD4FED"/>
    <w:rsid w:val="00FE00C8"/>
    <w:rsid w:val="00FE0577"/>
    <w:rsid w:val="00FE2FF8"/>
    <w:rsid w:val="00FE3F0F"/>
    <w:rsid w:val="00FE59EC"/>
    <w:rsid w:val="00FE5B67"/>
    <w:rsid w:val="00FE60D6"/>
    <w:rsid w:val="00FF4046"/>
    <w:rsid w:val="00FF7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869B14E"/>
  <w15:docId w15:val="{311FB125-7D9B-473C-B93C-C5DBB700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420FCA"/>
    <w:rPr>
      <w:vertAlign w:val="superscript"/>
    </w:rPr>
  </w:style>
  <w:style w:type="character" w:styleId="CommentReference">
    <w:name w:val="annotation reference"/>
    <w:basedOn w:val="DefaultParagraphFont"/>
    <w:semiHidden/>
    <w:unhideWhenUsed/>
    <w:rsid w:val="00417A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CC885-8B6B-4C0C-9964-758F473B3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4</Pages>
  <Words>562</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Christopher Nguyen</dc:creator>
  <cp:lastModifiedBy>Jackie Colson</cp:lastModifiedBy>
  <cp:revision>2</cp:revision>
  <cp:lastPrinted>2026-04-16T19:12:00Z</cp:lastPrinted>
  <dcterms:created xsi:type="dcterms:W3CDTF">2026-04-23T12:58:00Z</dcterms:created>
  <dcterms:modified xsi:type="dcterms:W3CDTF">2026-04-23T12:58:00Z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20260046-EI</vt:lpwstr>
  </property>
  <property fmtid="{D5CDD505-2E9C-101B-9397-08002B2CF9AE}" pid="3" name="MasterDocument">
    <vt:bool>false</vt:bool>
  </property>
  <property fmtid="{D5CDD505-2E9C-101B-9397-08002B2CF9AE}" pid="4" name="SubDocument">
    <vt:bool>false</vt:bool>
  </property>
</Properties>
</file>