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9C9BB" w14:textId="77777777" w:rsidR="004C7206" w:rsidRDefault="004C7206" w:rsidP="004C7206">
      <w:pPr>
        <w:pStyle w:val="OrderHeading"/>
      </w:pPr>
      <w:r>
        <w:t>BEFORE THE FLORIDA PUBLIC SERVICE COMMISSION</w:t>
      </w:r>
    </w:p>
    <w:p w14:paraId="716CD94E" w14:textId="77777777" w:rsidR="004C7206" w:rsidRDefault="004C7206" w:rsidP="004C7206">
      <w:pPr>
        <w:pStyle w:val="OrderBody"/>
      </w:pPr>
    </w:p>
    <w:p w14:paraId="77D98563" w14:textId="77777777" w:rsidR="004C7206" w:rsidRDefault="004C7206" w:rsidP="004C720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C7206" w:rsidRPr="00C63FCF" w14:paraId="4503D948" w14:textId="77777777" w:rsidTr="00C63FCF">
        <w:trPr>
          <w:trHeight w:val="828"/>
        </w:trPr>
        <w:tc>
          <w:tcPr>
            <w:tcW w:w="4788" w:type="dxa"/>
            <w:tcBorders>
              <w:bottom w:val="single" w:sz="8" w:space="0" w:color="auto"/>
              <w:right w:val="double" w:sz="6" w:space="0" w:color="auto"/>
            </w:tcBorders>
            <w:shd w:val="clear" w:color="auto" w:fill="auto"/>
          </w:tcPr>
          <w:p w14:paraId="6EDF1123" w14:textId="77777777" w:rsidR="004C7206" w:rsidRDefault="004C7206" w:rsidP="00C63FCF">
            <w:pPr>
              <w:pStyle w:val="OrderBody"/>
              <w:tabs>
                <w:tab w:val="center" w:pos="4320"/>
                <w:tab w:val="right" w:pos="8640"/>
              </w:tabs>
              <w:jc w:val="left"/>
            </w:pPr>
            <w:r>
              <w:t xml:space="preserve">In re: </w:t>
            </w:r>
            <w:bookmarkStart w:id="0" w:name="SSInRe"/>
            <w:bookmarkEnd w:id="0"/>
            <w:r>
              <w:t>Complaint by Juan Merchan and Gonzalo Lever against Tampa Electric Company.</w:t>
            </w:r>
          </w:p>
        </w:tc>
        <w:tc>
          <w:tcPr>
            <w:tcW w:w="4788" w:type="dxa"/>
            <w:tcBorders>
              <w:left w:val="double" w:sz="6" w:space="0" w:color="auto"/>
            </w:tcBorders>
            <w:shd w:val="clear" w:color="auto" w:fill="auto"/>
          </w:tcPr>
          <w:p w14:paraId="7EA15463" w14:textId="77777777" w:rsidR="004C7206" w:rsidRDefault="004C7206" w:rsidP="004C7206">
            <w:pPr>
              <w:pStyle w:val="OrderBody"/>
            </w:pPr>
            <w:r>
              <w:t xml:space="preserve">DOCKET NO. </w:t>
            </w:r>
            <w:bookmarkStart w:id="1" w:name="SSDocketNo"/>
            <w:bookmarkEnd w:id="1"/>
            <w:r>
              <w:t>20260014-EI</w:t>
            </w:r>
          </w:p>
          <w:p w14:paraId="0E2F50BB" w14:textId="3BDAC095" w:rsidR="004C7206" w:rsidRDefault="004C7206" w:rsidP="00C63FCF">
            <w:pPr>
              <w:pStyle w:val="OrderBody"/>
              <w:tabs>
                <w:tab w:val="center" w:pos="4320"/>
                <w:tab w:val="right" w:pos="8640"/>
              </w:tabs>
              <w:jc w:val="left"/>
            </w:pPr>
            <w:r>
              <w:t xml:space="preserve">ORDER NO. </w:t>
            </w:r>
            <w:bookmarkStart w:id="2" w:name="OrderNo0220"/>
            <w:r w:rsidR="005E1222">
              <w:t>PSC-2026-0220-PAA-EI</w:t>
            </w:r>
            <w:bookmarkEnd w:id="2"/>
          </w:p>
          <w:p w14:paraId="4838C5AA" w14:textId="521AF23D" w:rsidR="004C7206" w:rsidRDefault="004C7206" w:rsidP="00C63FCF">
            <w:pPr>
              <w:pStyle w:val="OrderBody"/>
              <w:tabs>
                <w:tab w:val="center" w:pos="4320"/>
                <w:tab w:val="right" w:pos="8640"/>
              </w:tabs>
              <w:jc w:val="left"/>
            </w:pPr>
            <w:r>
              <w:t xml:space="preserve">ISSUED: </w:t>
            </w:r>
            <w:r w:rsidR="005E1222">
              <w:t>June 19, 2026</w:t>
            </w:r>
          </w:p>
        </w:tc>
      </w:tr>
    </w:tbl>
    <w:p w14:paraId="3FB386C8" w14:textId="77777777" w:rsidR="004C7206" w:rsidRDefault="004C7206" w:rsidP="004C7206"/>
    <w:p w14:paraId="65468883" w14:textId="77777777" w:rsidR="00CB5276" w:rsidRDefault="00D611DF" w:rsidP="004C7206">
      <w:r>
        <w:t xml:space="preserve"> </w:t>
      </w:r>
    </w:p>
    <w:p w14:paraId="5DEFEBF8" w14:textId="77777777" w:rsidR="004C7206" w:rsidRPr="008D1D5C" w:rsidRDefault="004C7206"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583C75E3" w14:textId="77777777" w:rsidR="004C7206" w:rsidRPr="008D1D5C" w:rsidRDefault="004C7206" w:rsidP="008D1D5C">
      <w:pPr>
        <w:spacing w:line="276" w:lineRule="auto"/>
        <w:jc w:val="center"/>
        <w:rPr>
          <w:rFonts w:eastAsiaTheme="minorHAnsi" w:cstheme="minorBidi"/>
          <w:szCs w:val="22"/>
        </w:rPr>
      </w:pPr>
    </w:p>
    <w:p w14:paraId="22837BC7" w14:textId="77777777" w:rsidR="004C7206" w:rsidRPr="008D1D5C" w:rsidRDefault="004C7206"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293053DE" w14:textId="77777777" w:rsidR="004C7206" w:rsidRPr="008D1D5C" w:rsidRDefault="004C7206" w:rsidP="008D1D5C">
      <w:pPr>
        <w:spacing w:line="276" w:lineRule="auto"/>
        <w:jc w:val="center"/>
        <w:rPr>
          <w:rFonts w:eastAsiaTheme="minorHAnsi" w:cstheme="minorBidi"/>
          <w:szCs w:val="22"/>
        </w:rPr>
      </w:pPr>
      <w:r>
        <w:rPr>
          <w:rFonts w:eastAsiaTheme="minorHAnsi" w:cstheme="minorBidi"/>
          <w:szCs w:val="22"/>
        </w:rPr>
        <w:t>GARY F. CLARK</w:t>
      </w:r>
    </w:p>
    <w:p w14:paraId="3E0E2592" w14:textId="77777777" w:rsidR="004C7206" w:rsidRPr="008D1D5C" w:rsidRDefault="004C7206" w:rsidP="008D1D5C">
      <w:pPr>
        <w:spacing w:line="276" w:lineRule="auto"/>
        <w:jc w:val="center"/>
        <w:rPr>
          <w:rFonts w:eastAsiaTheme="minorHAnsi" w:cstheme="minorBidi"/>
          <w:szCs w:val="22"/>
        </w:rPr>
      </w:pPr>
      <w:r>
        <w:rPr>
          <w:rFonts w:eastAsiaTheme="minorHAnsi" w:cstheme="minorBidi"/>
          <w:szCs w:val="22"/>
        </w:rPr>
        <w:t>MIKE LA ROSA</w:t>
      </w:r>
    </w:p>
    <w:p w14:paraId="3FC4152D" w14:textId="77777777" w:rsidR="004C7206" w:rsidRPr="008D1D5C" w:rsidRDefault="004C7206" w:rsidP="008D1D5C">
      <w:pPr>
        <w:spacing w:line="276" w:lineRule="auto"/>
        <w:jc w:val="center"/>
        <w:rPr>
          <w:rFonts w:eastAsiaTheme="minorHAnsi" w:cstheme="minorBidi"/>
          <w:szCs w:val="22"/>
        </w:rPr>
      </w:pPr>
      <w:r>
        <w:rPr>
          <w:rFonts w:eastAsiaTheme="minorHAnsi" w:cstheme="minorBidi"/>
          <w:szCs w:val="22"/>
        </w:rPr>
        <w:t>BOBBY PAYNE</w:t>
      </w:r>
    </w:p>
    <w:p w14:paraId="606D2F98" w14:textId="77777777" w:rsidR="004C7206" w:rsidRPr="008D1D5C" w:rsidRDefault="004C7206" w:rsidP="008D1D5C">
      <w:pPr>
        <w:spacing w:line="276" w:lineRule="auto"/>
        <w:jc w:val="center"/>
        <w:rPr>
          <w:rFonts w:eastAsiaTheme="minorHAnsi" w:cstheme="minorBidi"/>
          <w:szCs w:val="22"/>
        </w:rPr>
      </w:pPr>
      <w:r>
        <w:rPr>
          <w:rFonts w:eastAsiaTheme="minorHAnsi" w:cstheme="minorBidi"/>
          <w:szCs w:val="22"/>
        </w:rPr>
        <w:t>ANA ORTEGA</w:t>
      </w:r>
    </w:p>
    <w:p w14:paraId="4964BF95" w14:textId="77777777" w:rsidR="004C7206" w:rsidRDefault="004C7206" w:rsidP="004C7206">
      <w:pPr>
        <w:pStyle w:val="OrderBody"/>
      </w:pPr>
    </w:p>
    <w:p w14:paraId="39169FA8" w14:textId="77777777" w:rsidR="004C7206" w:rsidRDefault="004C7206" w:rsidP="004C7206">
      <w:pPr>
        <w:pStyle w:val="OrderBody"/>
      </w:pPr>
    </w:p>
    <w:bookmarkStart w:id="4" w:name="OrderText"/>
    <w:bookmarkEnd w:id="4"/>
    <w:p w14:paraId="33F7B26B" w14:textId="0867747F" w:rsidR="004C7206" w:rsidRPr="003E4B2D" w:rsidRDefault="004C7206">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40848A2A" w14:textId="77777777" w:rsidR="004C7206" w:rsidRPr="004C7206" w:rsidRDefault="004C7206">
      <w:pPr>
        <w:pStyle w:val="OrderBody"/>
        <w:jc w:val="center"/>
        <w:rPr>
          <w:u w:val="single"/>
        </w:rPr>
      </w:pPr>
      <w:r w:rsidRPr="003E4B2D">
        <w:rPr>
          <w:u w:val="single"/>
        </w:rPr>
        <w:t>ORDE</w:t>
      </w:r>
      <w:r w:rsidRPr="004C7206">
        <w:rPr>
          <w:u w:val="single"/>
        </w:rPr>
        <w:t>R</w:t>
      </w:r>
      <w:bookmarkStart w:id="5" w:name="OrderTitle"/>
      <w:r w:rsidRPr="004C7206">
        <w:rPr>
          <w:u w:val="single"/>
        </w:rPr>
        <w:t xml:space="preserve"> </w:t>
      </w:r>
      <w:bookmarkEnd w:id="5"/>
      <w:r w:rsidRPr="004C7206">
        <w:rPr>
          <w:u w:val="single"/>
        </w:rPr>
        <w:t>DENYING PETITIONERS’ FORMAL COMPLAINT</w:t>
      </w:r>
    </w:p>
    <w:p w14:paraId="37B53830" w14:textId="77777777" w:rsidR="004C7206" w:rsidRPr="003E4B2D" w:rsidRDefault="004C7206">
      <w:pPr>
        <w:pStyle w:val="OrderBody"/>
      </w:pPr>
    </w:p>
    <w:p w14:paraId="3E39557D" w14:textId="77777777" w:rsidR="004C7206" w:rsidRPr="003E4B2D" w:rsidRDefault="004C7206">
      <w:pPr>
        <w:pStyle w:val="OrderBody"/>
      </w:pPr>
    </w:p>
    <w:p w14:paraId="38918443" w14:textId="77777777" w:rsidR="004C7206" w:rsidRPr="003E4B2D" w:rsidRDefault="004C7206">
      <w:pPr>
        <w:pStyle w:val="OrderBody"/>
      </w:pPr>
      <w:r w:rsidRPr="003E4B2D">
        <w:t>BY THE COMMISSION:</w:t>
      </w:r>
    </w:p>
    <w:p w14:paraId="418BCEBD" w14:textId="77777777" w:rsidR="004C7206" w:rsidRPr="003E4B2D" w:rsidRDefault="004C7206">
      <w:pPr>
        <w:pStyle w:val="OrderBody"/>
      </w:pPr>
    </w:p>
    <w:p w14:paraId="2B86FEAE" w14:textId="77777777" w:rsidR="004C7206" w:rsidRDefault="004C7206">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74E520C4" w14:textId="77777777" w:rsidR="00CB5276" w:rsidRDefault="00CB5276" w:rsidP="004C7206"/>
    <w:p w14:paraId="1526EAF4" w14:textId="77777777" w:rsidR="00513EC1" w:rsidRDefault="004C7206" w:rsidP="004C7206">
      <w:pPr>
        <w:pStyle w:val="OrderBody"/>
        <w:jc w:val="center"/>
        <w:rPr>
          <w:u w:val="single"/>
        </w:rPr>
      </w:pPr>
      <w:r>
        <w:rPr>
          <w:u w:val="single"/>
        </w:rPr>
        <w:t>BACKGROUND</w:t>
      </w:r>
    </w:p>
    <w:p w14:paraId="11104DE9" w14:textId="77777777" w:rsidR="004C7206" w:rsidRDefault="004C7206" w:rsidP="004C7206">
      <w:pPr>
        <w:pStyle w:val="OrderBody"/>
      </w:pPr>
    </w:p>
    <w:p w14:paraId="3989B11F" w14:textId="77777777" w:rsidR="004C7206" w:rsidRDefault="00A416D9" w:rsidP="00A61553">
      <w:pPr>
        <w:pStyle w:val="OrderBody"/>
        <w:ind w:firstLine="720"/>
      </w:pPr>
      <w:r w:rsidRPr="00A416D9">
        <w:t>On May 13, 2024, Mr. Juan Merchan (Mr. Merchan) filed In</w:t>
      </w:r>
      <w:r>
        <w:t xml:space="preserve">formal Complaint No. 14445 15E, </w:t>
      </w:r>
      <w:r w:rsidRPr="00A416D9">
        <w:t>challenging Tampa Electric Company</w:t>
      </w:r>
      <w:r w:rsidRPr="00A416D9">
        <w:rPr>
          <w:rFonts w:hint="eastAsia"/>
        </w:rPr>
        <w:t>’</w:t>
      </w:r>
      <w:r w:rsidRPr="00A416D9">
        <w:t>s (TE</w:t>
      </w:r>
      <w:r w:rsidR="00BE6D56">
        <w:t>CO) relocation of a pole and guy</w:t>
      </w:r>
      <w:r w:rsidRPr="00A416D9">
        <w:t xml:space="preserve"> wires in front of</w:t>
      </w:r>
      <w:r>
        <w:t xml:space="preserve"> </w:t>
      </w:r>
      <w:r w:rsidRPr="00A416D9">
        <w:t>his prop</w:t>
      </w:r>
      <w:r w:rsidR="00BE6D56">
        <w:t>erty. The pole and guy</w:t>
      </w:r>
      <w:r w:rsidRPr="00A416D9">
        <w:t xml:space="preserve"> wires complained of were formerly in front of an adjacent</w:t>
      </w:r>
      <w:r>
        <w:t xml:space="preserve"> </w:t>
      </w:r>
      <w:r w:rsidRPr="00A416D9">
        <w:t>property. TECO reconfigured and moved the pole, and relocated the guy wires</w:t>
      </w:r>
      <w:r>
        <w:t xml:space="preserve"> </w:t>
      </w:r>
      <w:r w:rsidRPr="00A416D9">
        <w:t>to accommodate access to a new driveway at the adjacent property. Mr. Merchan alleged that</w:t>
      </w:r>
      <w:r>
        <w:t xml:space="preserve"> </w:t>
      </w:r>
      <w:r w:rsidRPr="00A416D9">
        <w:t>TECO</w:t>
      </w:r>
      <w:r w:rsidRPr="00A416D9">
        <w:rPr>
          <w:rFonts w:hint="eastAsia"/>
        </w:rPr>
        <w:t>’</w:t>
      </w:r>
      <w:r w:rsidRPr="00A416D9">
        <w:t>s relocation of the pole and guv wires was an unreasonable and discriminatory exercise of</w:t>
      </w:r>
      <w:r>
        <w:t xml:space="preserve"> </w:t>
      </w:r>
      <w:r w:rsidRPr="00A416D9">
        <w:t>utility discretion. Mr. Merchan further alleged that the relocation inhibited his ingress and egress</w:t>
      </w:r>
      <w:r>
        <w:t xml:space="preserve"> </w:t>
      </w:r>
      <w:r w:rsidRPr="00A416D9">
        <w:t>from his own property, and gave undue preference to the adjacent property from which the guy</w:t>
      </w:r>
      <w:r>
        <w:t xml:space="preserve"> </w:t>
      </w:r>
      <w:r w:rsidRPr="00A416D9">
        <w:t>wires were relocated.</w:t>
      </w:r>
    </w:p>
    <w:p w14:paraId="725CC50E" w14:textId="77777777" w:rsidR="00A416D9" w:rsidRDefault="00A416D9" w:rsidP="00A416D9">
      <w:pPr>
        <w:pStyle w:val="OrderBody"/>
      </w:pPr>
    </w:p>
    <w:p w14:paraId="6C009F45" w14:textId="77777777" w:rsidR="00A416D9" w:rsidRDefault="00A416D9" w:rsidP="00997161">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After a thorough review, including a site visit by Commission engineering staff, the Office of Consumer Assistance (OCA) staff informed Mr. Merchan that the relocated pole and guy wires were properly in TECO’s public right of way (ROW). Mr. Merchan expressed disagreement with this conclusion and the matter was referred to the Commission's Process Review Team (PRT) for review, in accordance with Rule 25-22.032, F.A.C. On November 5, </w:t>
      </w:r>
      <w:r>
        <w:rPr>
          <w:rFonts w:ascii="TimesNewRomanPSMT" w:hAnsi="TimesNewRomanPSMT" w:cs="TimesNewRomanPSMT"/>
        </w:rPr>
        <w:lastRenderedPageBreak/>
        <w:t>2025, Commission staff advised Mr. Merchan that his informal complaint had been reviewed by the PRT, and it appeared that TECO did not violate Commission statutes, rules, or orders in its handling of this matter. Staff advised Mr. Merchan that if he disagreed with the complaint conclusion, he could file a petition for initiation of formal proceedings for relief against TECO.</w:t>
      </w:r>
    </w:p>
    <w:p w14:paraId="6EEB1D90" w14:textId="77777777" w:rsidR="00A416D9" w:rsidRDefault="00A416D9" w:rsidP="00997161">
      <w:pPr>
        <w:autoSpaceDE w:val="0"/>
        <w:autoSpaceDN w:val="0"/>
        <w:adjustRightInd w:val="0"/>
        <w:jc w:val="both"/>
        <w:rPr>
          <w:rFonts w:ascii="TimesNewRomanPSMT" w:hAnsi="TimesNewRomanPSMT" w:cs="TimesNewRomanPSMT"/>
        </w:rPr>
      </w:pPr>
    </w:p>
    <w:p w14:paraId="4CDA151F" w14:textId="77777777" w:rsidR="00A416D9" w:rsidRDefault="00A416D9" w:rsidP="00997161">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On January 28, 2026, Mr. Merchan and Mr. Gonzalo Lever</w:t>
      </w:r>
      <w:r>
        <w:rPr>
          <w:rStyle w:val="FootnoteReference"/>
          <w:rFonts w:ascii="TimesNewRomanPSMT" w:hAnsi="TimesNewRomanPSMT" w:cs="TimesNewRomanPSMT"/>
        </w:rPr>
        <w:footnoteReference w:id="1"/>
      </w:r>
      <w:r>
        <w:rPr>
          <w:rFonts w:ascii="TimesNewRomanPSMT" w:hAnsi="TimesNewRomanPSMT" w:cs="TimesNewRomanPSMT"/>
          <w:sz w:val="16"/>
          <w:szCs w:val="16"/>
        </w:rPr>
        <w:t xml:space="preserve"> </w:t>
      </w:r>
      <w:r>
        <w:rPr>
          <w:rFonts w:ascii="TimesNewRomanPSMT" w:hAnsi="TimesNewRomanPSMT" w:cs="TimesNewRomanPSMT"/>
        </w:rPr>
        <w:t>(Petitioners) filed a formal</w:t>
      </w:r>
      <w:r w:rsidR="00BE6D56">
        <w:rPr>
          <w:rFonts w:ascii="TimesNewRomanPSMT" w:hAnsi="TimesNewRomanPSMT" w:cs="TimesNewRomanPSMT"/>
        </w:rPr>
        <w:t xml:space="preserve"> </w:t>
      </w:r>
      <w:r>
        <w:rPr>
          <w:rFonts w:ascii="TimesNewRomanPSMT" w:hAnsi="TimesNewRomanPSMT" w:cs="TimesNewRomanPSMT"/>
        </w:rPr>
        <w:t>complaint against TECO alleging the same material facts as contained in Mr. Merchan’s</w:t>
      </w:r>
      <w:r w:rsidR="00BE6D56">
        <w:rPr>
          <w:rFonts w:ascii="TimesNewRomanPSMT" w:hAnsi="TimesNewRomanPSMT" w:cs="TimesNewRomanPSMT"/>
        </w:rPr>
        <w:t xml:space="preserve"> </w:t>
      </w:r>
      <w:r>
        <w:rPr>
          <w:rFonts w:ascii="TimesNewRomanPSMT" w:hAnsi="TimesNewRomanPSMT" w:cs="TimesNewRomanPSMT"/>
        </w:rPr>
        <w:t>informal complaint. The Petitioners’ formal complaint again alleges that TECO’s relocation of</w:t>
      </w:r>
      <w:r w:rsidR="00BE6D56">
        <w:rPr>
          <w:rFonts w:ascii="TimesNewRomanPSMT" w:hAnsi="TimesNewRomanPSMT" w:cs="TimesNewRomanPSMT"/>
        </w:rPr>
        <w:t xml:space="preserve"> </w:t>
      </w:r>
      <w:r>
        <w:rPr>
          <w:rFonts w:ascii="TimesNewRomanPSMT" w:hAnsi="TimesNewRomanPSMT" w:cs="TimesNewRomanPSMT"/>
        </w:rPr>
        <w:t>guy wires from an adjacent property to the front of Petitioners’ property was an unreasonable</w:t>
      </w:r>
      <w:r w:rsidR="00BE6D56">
        <w:rPr>
          <w:rFonts w:ascii="TimesNewRomanPSMT" w:hAnsi="TimesNewRomanPSMT" w:cs="TimesNewRomanPSMT"/>
        </w:rPr>
        <w:t xml:space="preserve"> </w:t>
      </w:r>
      <w:r>
        <w:rPr>
          <w:rFonts w:ascii="TimesNewRomanPSMT" w:hAnsi="TimesNewRomanPSMT" w:cs="TimesNewRomanPSMT"/>
        </w:rPr>
        <w:t>and discriminatory exercise of utility discretion. Petitioners maintained that the relocation of the</w:t>
      </w:r>
      <w:r w:rsidR="00BE6D56">
        <w:rPr>
          <w:rFonts w:ascii="TimesNewRomanPSMT" w:hAnsi="TimesNewRomanPSMT" w:cs="TimesNewRomanPSMT"/>
        </w:rPr>
        <w:t xml:space="preserve"> </w:t>
      </w:r>
      <w:r>
        <w:rPr>
          <w:rFonts w:ascii="TimesNewRomanPSMT" w:hAnsi="TimesNewRomanPSMT" w:cs="TimesNewRomanPSMT"/>
        </w:rPr>
        <w:t>pole and guy wires presents undue preference to the neighboring property. On March 11, 2026,</w:t>
      </w:r>
      <w:r w:rsidR="00BE6D56">
        <w:rPr>
          <w:rFonts w:ascii="TimesNewRomanPSMT" w:hAnsi="TimesNewRomanPSMT" w:cs="TimesNewRomanPSMT"/>
        </w:rPr>
        <w:t xml:space="preserve"> </w:t>
      </w:r>
      <w:r>
        <w:rPr>
          <w:rFonts w:ascii="TimesNewRomanPSMT" w:hAnsi="TimesNewRomanPSMT" w:cs="TimesNewRomanPSMT"/>
        </w:rPr>
        <w:t>Petitioners filed an amended formal complaint (Amended Complaint) restating and clarifying the</w:t>
      </w:r>
      <w:r w:rsidR="00BE6D56">
        <w:rPr>
          <w:rFonts w:ascii="TimesNewRomanPSMT" w:hAnsi="TimesNewRomanPSMT" w:cs="TimesNewRomanPSMT"/>
        </w:rPr>
        <w:t xml:space="preserve">  </w:t>
      </w:r>
      <w:r>
        <w:rPr>
          <w:rFonts w:ascii="TimesNewRomanPSMT" w:hAnsi="TimesNewRomanPSMT" w:cs="TimesNewRomanPSMT"/>
        </w:rPr>
        <w:t>issues of material fact and legal basis for their claims.</w:t>
      </w:r>
    </w:p>
    <w:p w14:paraId="6569312F" w14:textId="77777777" w:rsidR="00BE6D56" w:rsidRDefault="00BE6D56" w:rsidP="00997161">
      <w:pPr>
        <w:autoSpaceDE w:val="0"/>
        <w:autoSpaceDN w:val="0"/>
        <w:adjustRightInd w:val="0"/>
        <w:jc w:val="both"/>
        <w:rPr>
          <w:rFonts w:ascii="TimesNewRomanPSMT" w:hAnsi="TimesNewRomanPSMT" w:cs="TimesNewRomanPSMT"/>
        </w:rPr>
      </w:pPr>
    </w:p>
    <w:p w14:paraId="0F90B9A2" w14:textId="77777777" w:rsidR="00BE6D56" w:rsidRDefault="00BE6D56" w:rsidP="00997161">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On April 2, 2026, TECO filed a response to the Petitioners’ formal complaint (Response). TECO states that the Amended Complaint does not allege any facts that would support finding that TECO violated its tariff or any applicable statutes, rules, or orders of the Commission. TECO further denied any such violations of applicable statutes, rules, or orders of the Commission.</w:t>
      </w:r>
    </w:p>
    <w:p w14:paraId="3E2E425C" w14:textId="77777777" w:rsidR="00BE6D56" w:rsidRDefault="00BE6D56" w:rsidP="00997161">
      <w:pPr>
        <w:autoSpaceDE w:val="0"/>
        <w:autoSpaceDN w:val="0"/>
        <w:adjustRightInd w:val="0"/>
        <w:jc w:val="both"/>
        <w:rPr>
          <w:rFonts w:ascii="TimesNewRomanPSMT" w:hAnsi="TimesNewRomanPSMT" w:cs="TimesNewRomanPSMT"/>
        </w:rPr>
      </w:pPr>
    </w:p>
    <w:p w14:paraId="0FB49A58" w14:textId="4A594E39" w:rsidR="00BE6D56" w:rsidRDefault="00BE6D56" w:rsidP="00997161">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This Order addresses the appropriate disposition of the Petitioners’ complaint against TECO. </w:t>
      </w:r>
      <w:r w:rsidR="00F7792B">
        <w:rPr>
          <w:rFonts w:ascii="TimesNewRomanPSMT" w:hAnsi="TimesNewRomanPSMT" w:cs="TimesNewRomanPSMT"/>
        </w:rPr>
        <w:t>We have</w:t>
      </w:r>
      <w:r>
        <w:rPr>
          <w:rFonts w:ascii="TimesNewRomanPSMT" w:hAnsi="TimesNewRomanPSMT" w:cs="TimesNewRomanPSMT"/>
        </w:rPr>
        <w:t xml:space="preserve"> jurisdiction over this matter pursuant to Section 366.04, Florida Statutes (F.S.).</w:t>
      </w:r>
    </w:p>
    <w:p w14:paraId="1E91CA0F" w14:textId="77777777" w:rsidR="00A61553" w:rsidRDefault="00A61553" w:rsidP="00BE6D56">
      <w:pPr>
        <w:autoSpaceDE w:val="0"/>
        <w:autoSpaceDN w:val="0"/>
        <w:adjustRightInd w:val="0"/>
        <w:rPr>
          <w:rFonts w:ascii="TimesNewRomanPSMT" w:hAnsi="TimesNewRomanPSMT" w:cs="TimesNewRomanPSMT"/>
        </w:rPr>
      </w:pPr>
    </w:p>
    <w:p w14:paraId="5A015BBE" w14:textId="777198AD" w:rsidR="00A61553" w:rsidRDefault="00A61553" w:rsidP="00A61553">
      <w:pPr>
        <w:autoSpaceDE w:val="0"/>
        <w:autoSpaceDN w:val="0"/>
        <w:adjustRightInd w:val="0"/>
        <w:jc w:val="center"/>
        <w:rPr>
          <w:rFonts w:ascii="TimesNewRomanPSMT" w:hAnsi="TimesNewRomanPSMT" w:cs="TimesNewRomanPSMT"/>
          <w:u w:val="single"/>
        </w:rPr>
      </w:pPr>
      <w:r w:rsidRPr="00A61553">
        <w:rPr>
          <w:rFonts w:ascii="TimesNewRomanPSMT" w:hAnsi="TimesNewRomanPSMT" w:cs="TimesNewRomanPSMT"/>
          <w:u w:val="single"/>
        </w:rPr>
        <w:t>DECISION</w:t>
      </w:r>
    </w:p>
    <w:p w14:paraId="01296E01" w14:textId="77777777" w:rsidR="00A61553" w:rsidRDefault="00A61553" w:rsidP="00A61553">
      <w:pPr>
        <w:autoSpaceDE w:val="0"/>
        <w:autoSpaceDN w:val="0"/>
        <w:adjustRightInd w:val="0"/>
        <w:rPr>
          <w:rFonts w:ascii="TimesNewRomanPSMT" w:hAnsi="TimesNewRomanPSMT" w:cs="TimesNewRomanPSMT"/>
          <w:u w:val="single"/>
        </w:rPr>
      </w:pPr>
    </w:p>
    <w:p w14:paraId="2D6DD802" w14:textId="08518E0A" w:rsidR="00A61553" w:rsidRDefault="00A61553" w:rsidP="00997161">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Based on the information provided, </w:t>
      </w:r>
      <w:r w:rsidR="00F50E18">
        <w:rPr>
          <w:rFonts w:ascii="TimesNewRomanPSMT" w:hAnsi="TimesNewRomanPSMT" w:cs="TimesNewRomanPSMT"/>
        </w:rPr>
        <w:t xml:space="preserve">we find </w:t>
      </w:r>
      <w:r>
        <w:rPr>
          <w:rFonts w:ascii="TimesNewRomanPSMT" w:hAnsi="TimesNewRomanPSMT" w:cs="TimesNewRomanPSMT"/>
        </w:rPr>
        <w:t xml:space="preserve">that TECO </w:t>
      </w:r>
      <w:r w:rsidR="00F50E18">
        <w:rPr>
          <w:rFonts w:ascii="TimesNewRomanPSMT" w:hAnsi="TimesNewRomanPSMT" w:cs="TimesNewRomanPSMT"/>
        </w:rPr>
        <w:t xml:space="preserve">did not </w:t>
      </w:r>
      <w:r>
        <w:rPr>
          <w:rFonts w:ascii="TimesNewRomanPSMT" w:hAnsi="TimesNewRomanPSMT" w:cs="TimesNewRomanPSMT"/>
        </w:rPr>
        <w:t>v</w:t>
      </w:r>
      <w:r w:rsidR="00F50E18">
        <w:rPr>
          <w:rFonts w:ascii="TimesNewRomanPSMT" w:hAnsi="TimesNewRomanPSMT" w:cs="TimesNewRomanPSMT"/>
        </w:rPr>
        <w:t>iolate</w:t>
      </w:r>
      <w:r>
        <w:rPr>
          <w:rFonts w:ascii="TimesNewRomanPSMT" w:hAnsi="TimesNewRomanPSMT" w:cs="TimesNewRomanPSMT"/>
        </w:rPr>
        <w:t xml:space="preserve"> a statute, rule, order, or applicable provision of TECO’s Commission-approved tariff. TECO properly reconfigured and relocated its transmission pole and guy wires within its ROW. A </w:t>
      </w:r>
      <w:r w:rsidR="00F7792B">
        <w:rPr>
          <w:rFonts w:ascii="TimesNewRomanPSMT" w:hAnsi="TimesNewRomanPSMT" w:cs="TimesNewRomanPSMT"/>
        </w:rPr>
        <w:t xml:space="preserve">Commission </w:t>
      </w:r>
      <w:r>
        <w:rPr>
          <w:rFonts w:ascii="TimesNewRomanPSMT" w:hAnsi="TimesNewRomanPSMT" w:cs="TimesNewRomanPSMT"/>
        </w:rPr>
        <w:t>staff site inspection confirmed that the reconfigured and relocated pole and guy wires do not inhibit ingress or egress from the Petitioners’ property and appear to meet all applicable safety standards.</w:t>
      </w:r>
    </w:p>
    <w:p w14:paraId="6A048EAE" w14:textId="77777777" w:rsidR="00A61553" w:rsidRDefault="00A61553" w:rsidP="00997161">
      <w:pPr>
        <w:autoSpaceDE w:val="0"/>
        <w:autoSpaceDN w:val="0"/>
        <w:adjustRightInd w:val="0"/>
        <w:jc w:val="both"/>
        <w:rPr>
          <w:rFonts w:ascii="TimesNewRomanPSMT" w:hAnsi="TimesNewRomanPSMT" w:cs="TimesNewRomanPSMT"/>
        </w:rPr>
      </w:pPr>
    </w:p>
    <w:p w14:paraId="4BE29944" w14:textId="77777777" w:rsidR="00A61553" w:rsidRDefault="00A61553" w:rsidP="00997161">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Section 366.03, F.S., states that “[n]o public utility shall make or give any undue or unreasonable preference or advantage to any person or locality, or subject the same to any undue or unreasonable prejudice or disadvantage in any respect.” </w:t>
      </w:r>
      <w:r w:rsidR="00C26BC1">
        <w:rPr>
          <w:rFonts w:ascii="TimesNewRomanPSMT" w:hAnsi="TimesNewRomanPSMT" w:cs="TimesNewRomanPSMT"/>
        </w:rPr>
        <w:t>Upon review, w</w:t>
      </w:r>
      <w:r w:rsidR="00F50E18">
        <w:rPr>
          <w:rFonts w:ascii="TimesNewRomanPSMT" w:hAnsi="TimesNewRomanPSMT" w:cs="TimesNewRomanPSMT"/>
        </w:rPr>
        <w:t xml:space="preserve">e find </w:t>
      </w:r>
      <w:r>
        <w:rPr>
          <w:rFonts w:ascii="TimesNewRomanPSMT" w:hAnsi="TimesNewRomanPSMT" w:cs="TimesNewRomanPSMT"/>
        </w:rPr>
        <w:t xml:space="preserve">that TECO </w:t>
      </w:r>
      <w:r w:rsidR="00F50E18">
        <w:rPr>
          <w:rFonts w:ascii="TimesNewRomanPSMT" w:hAnsi="TimesNewRomanPSMT" w:cs="TimesNewRomanPSMT"/>
        </w:rPr>
        <w:t>did not act</w:t>
      </w:r>
      <w:r>
        <w:rPr>
          <w:rFonts w:ascii="TimesNewRomanPSMT" w:hAnsi="TimesNewRomanPSMT" w:cs="TimesNewRomanPSMT"/>
        </w:rPr>
        <w:t xml:space="preserve"> with undue or unreasonable preference in this case, </w:t>
      </w:r>
      <w:r w:rsidR="00F50E18">
        <w:rPr>
          <w:rFonts w:ascii="TimesNewRomanPSMT" w:hAnsi="TimesNewRomanPSMT" w:cs="TimesNewRomanPSMT"/>
        </w:rPr>
        <w:t>and</w:t>
      </w:r>
      <w:r>
        <w:rPr>
          <w:rFonts w:ascii="TimesNewRomanPSMT" w:hAnsi="TimesNewRomanPSMT" w:cs="TimesNewRomanPSMT"/>
        </w:rPr>
        <w:t xml:space="preserve"> that TECO</w:t>
      </w:r>
      <w:r w:rsidR="00F50E18">
        <w:rPr>
          <w:rFonts w:ascii="TimesNewRomanPSMT" w:hAnsi="TimesNewRomanPSMT" w:cs="TimesNewRomanPSMT"/>
        </w:rPr>
        <w:t xml:space="preserve"> did not act</w:t>
      </w:r>
      <w:r>
        <w:rPr>
          <w:rFonts w:ascii="TimesNewRomanPSMT" w:hAnsi="TimesNewRomanPSMT" w:cs="TimesNewRomanPSMT"/>
        </w:rPr>
        <w:t xml:space="preserve"> with undue or unreasonable prejudice towards the Petitioners. TECO relocated its pole and guy wires in order to accommodate construction of a driveway on the adjacent property, which is not unreasonable. The Petitioners claim that TECO’s proposal of relocating the pole and guy wires at the Petitioners’ expense, or requiring the Petitioners to grant an easement for a new pole, was unreasonable. However, </w:t>
      </w:r>
      <w:r w:rsidR="00F50E18">
        <w:rPr>
          <w:rFonts w:ascii="TimesNewRomanPSMT" w:hAnsi="TimesNewRomanPSMT" w:cs="TimesNewRomanPSMT"/>
        </w:rPr>
        <w:t>we find that it is reasonable</w:t>
      </w:r>
      <w:r>
        <w:rPr>
          <w:rFonts w:ascii="TimesNewRomanPSMT" w:hAnsi="TimesNewRomanPSMT" w:cs="TimesNewRomanPSMT"/>
        </w:rPr>
        <w:t xml:space="preserve"> for TECO to have a policy of requiring </w:t>
      </w:r>
      <w:r>
        <w:rPr>
          <w:rFonts w:ascii="TimesNewRomanPSMT" w:hAnsi="TimesNewRomanPSMT" w:cs="TimesNewRomanPSMT"/>
        </w:rPr>
        <w:lastRenderedPageBreak/>
        <w:t xml:space="preserve">customers to pay for equipment relocation for aesthetic purposes. Furthermore, </w:t>
      </w:r>
      <w:r w:rsidR="00F50E18">
        <w:rPr>
          <w:rFonts w:ascii="TimesNewRomanPSMT" w:hAnsi="TimesNewRomanPSMT" w:cs="TimesNewRomanPSMT"/>
        </w:rPr>
        <w:t>we find</w:t>
      </w:r>
      <w:r>
        <w:rPr>
          <w:rFonts w:ascii="TimesNewRomanPSMT" w:hAnsi="TimesNewRomanPSMT" w:cs="TimesNewRomanPSMT"/>
        </w:rPr>
        <w:t xml:space="preserve"> that the relocation of the pole and guy wires in front of the Petitioners’ property </w:t>
      </w:r>
      <w:r w:rsidR="00C26BC1">
        <w:rPr>
          <w:rFonts w:ascii="TimesNewRomanPSMT" w:hAnsi="TimesNewRomanPSMT" w:cs="TimesNewRomanPSMT"/>
        </w:rPr>
        <w:t>did</w:t>
      </w:r>
      <w:r w:rsidR="00F50E18">
        <w:rPr>
          <w:rFonts w:ascii="TimesNewRomanPSMT" w:hAnsi="TimesNewRomanPSMT" w:cs="TimesNewRomanPSMT"/>
        </w:rPr>
        <w:t xml:space="preserve"> not </w:t>
      </w:r>
      <w:r>
        <w:rPr>
          <w:rFonts w:ascii="TimesNewRomanPSMT" w:hAnsi="TimesNewRomanPSMT" w:cs="TimesNewRomanPSMT"/>
        </w:rPr>
        <w:t>constitute undue preference for the adjacent property or undue prejudice against the Petitioners.</w:t>
      </w:r>
    </w:p>
    <w:p w14:paraId="4F1EA503" w14:textId="77777777" w:rsidR="00A61553" w:rsidRDefault="00A61553" w:rsidP="00997161">
      <w:pPr>
        <w:autoSpaceDE w:val="0"/>
        <w:autoSpaceDN w:val="0"/>
        <w:adjustRightInd w:val="0"/>
        <w:jc w:val="both"/>
        <w:rPr>
          <w:rFonts w:ascii="TimesNewRomanPSMT" w:hAnsi="TimesNewRomanPSMT" w:cs="TimesNewRomanPSMT"/>
        </w:rPr>
      </w:pPr>
    </w:p>
    <w:p w14:paraId="65AD3FBA" w14:textId="77777777" w:rsidR="00A61553" w:rsidRDefault="00A61553" w:rsidP="00997161">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Tariff Sheet No. 5.090, Section 2.3, addresses the placement of utility equipment on private property outside of a public ROW. This is inapplicable to the complaint because the relocation of the pole and guy wires complained of are within TECO’s public ROW. Therefore, </w:t>
      </w:r>
      <w:r w:rsidR="00C26BC1">
        <w:rPr>
          <w:rFonts w:ascii="TimesNewRomanPSMT" w:hAnsi="TimesNewRomanPSMT" w:cs="TimesNewRomanPSMT"/>
        </w:rPr>
        <w:t xml:space="preserve">we find </w:t>
      </w:r>
      <w:r>
        <w:rPr>
          <w:rFonts w:ascii="TimesNewRomanPSMT" w:hAnsi="TimesNewRomanPSMT" w:cs="TimesNewRomanPSMT"/>
        </w:rPr>
        <w:t xml:space="preserve">that TECO </w:t>
      </w:r>
      <w:r w:rsidR="00C26BC1">
        <w:rPr>
          <w:rFonts w:ascii="TimesNewRomanPSMT" w:hAnsi="TimesNewRomanPSMT" w:cs="TimesNewRomanPSMT"/>
        </w:rPr>
        <w:t>did not violate</w:t>
      </w:r>
      <w:r>
        <w:rPr>
          <w:rFonts w:ascii="TimesNewRomanPSMT" w:hAnsi="TimesNewRomanPSMT" w:cs="TimesNewRomanPSMT"/>
        </w:rPr>
        <w:t xml:space="preserve"> its Commission-approved tariff in its handling of this matter. </w:t>
      </w:r>
      <w:r w:rsidR="00C26BC1">
        <w:rPr>
          <w:rFonts w:ascii="TimesNewRomanPSMT" w:hAnsi="TimesNewRomanPSMT" w:cs="TimesNewRomanPSMT"/>
        </w:rPr>
        <w:t xml:space="preserve">Upon review, we find </w:t>
      </w:r>
      <w:r>
        <w:rPr>
          <w:rFonts w:ascii="TimesNewRomanPSMT" w:hAnsi="TimesNewRomanPSMT" w:cs="TimesNewRomanPSMT"/>
        </w:rPr>
        <w:t xml:space="preserve">that TECO’s relocation of the pole and guy wires </w:t>
      </w:r>
      <w:r w:rsidR="00C26BC1">
        <w:rPr>
          <w:rFonts w:ascii="TimesNewRomanPSMT" w:hAnsi="TimesNewRomanPSMT" w:cs="TimesNewRomanPSMT"/>
        </w:rPr>
        <w:t>did not violate</w:t>
      </w:r>
      <w:r>
        <w:rPr>
          <w:rFonts w:ascii="TimesNewRomanPSMT" w:hAnsi="TimesNewRomanPSMT" w:cs="TimesNewRomanPSMT"/>
        </w:rPr>
        <w:t xml:space="preserve"> a statute, rule, order, or applicable provision of TECO’s Commission-approved tariff</w:t>
      </w:r>
      <w:r w:rsidR="00686E7E">
        <w:rPr>
          <w:rFonts w:ascii="TimesNewRomanPSMT" w:hAnsi="TimesNewRomanPSMT" w:cs="TimesNewRomanPSMT"/>
        </w:rPr>
        <w:t>; therefore, the Petitioners’ complaint shall be denied.</w:t>
      </w:r>
    </w:p>
    <w:p w14:paraId="4272A207" w14:textId="77777777" w:rsidR="00A61553" w:rsidRDefault="00A61553" w:rsidP="00997161">
      <w:pPr>
        <w:autoSpaceDE w:val="0"/>
        <w:autoSpaceDN w:val="0"/>
        <w:adjustRightInd w:val="0"/>
        <w:jc w:val="both"/>
        <w:rPr>
          <w:rFonts w:ascii="TimesNewRomanPSMT" w:hAnsi="TimesNewRomanPSMT" w:cs="TimesNewRomanPSMT"/>
        </w:rPr>
      </w:pPr>
    </w:p>
    <w:p w14:paraId="42BED01E" w14:textId="77777777" w:rsidR="00A61553" w:rsidRDefault="00A61553" w:rsidP="00997161">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Based on the foregoing, it is </w:t>
      </w:r>
    </w:p>
    <w:p w14:paraId="2D42E61E" w14:textId="77777777" w:rsidR="00A61553" w:rsidRDefault="00A61553" w:rsidP="00997161">
      <w:pPr>
        <w:autoSpaceDE w:val="0"/>
        <w:autoSpaceDN w:val="0"/>
        <w:adjustRightInd w:val="0"/>
        <w:jc w:val="both"/>
        <w:rPr>
          <w:rFonts w:ascii="TimesNewRomanPSMT" w:hAnsi="TimesNewRomanPSMT" w:cs="TimesNewRomanPSMT"/>
        </w:rPr>
      </w:pPr>
    </w:p>
    <w:p w14:paraId="7A82D0DB" w14:textId="77777777" w:rsidR="00A61553" w:rsidRDefault="00A61553" w:rsidP="00997161">
      <w:pPr>
        <w:autoSpaceDE w:val="0"/>
        <w:autoSpaceDN w:val="0"/>
        <w:adjustRightInd w:val="0"/>
        <w:jc w:val="both"/>
      </w:pPr>
      <w:r>
        <w:rPr>
          <w:rFonts w:ascii="TimesNewRomanPSMT" w:hAnsi="TimesNewRomanPSMT" w:cs="TimesNewRomanPSMT"/>
        </w:rPr>
        <w:tab/>
        <w:t xml:space="preserve">ORDERED by the Florida Public Service Commission that the </w:t>
      </w:r>
      <w:r>
        <w:t>Complaint by Juan Merchan and Gonzalo Lever against TECO</w:t>
      </w:r>
      <w:r w:rsidR="00F50E18">
        <w:t xml:space="preserve"> is denied</w:t>
      </w:r>
      <w:r>
        <w:t>.</w:t>
      </w:r>
      <w:r w:rsidR="00F50E18">
        <w:t xml:space="preserve"> It is further </w:t>
      </w:r>
    </w:p>
    <w:p w14:paraId="07935819" w14:textId="77777777" w:rsidR="00F50E18" w:rsidRDefault="00F50E18" w:rsidP="00997161">
      <w:pPr>
        <w:autoSpaceDE w:val="0"/>
        <w:autoSpaceDN w:val="0"/>
        <w:adjustRightInd w:val="0"/>
        <w:jc w:val="both"/>
      </w:pPr>
    </w:p>
    <w:p w14:paraId="624CB62D" w14:textId="1BA72E8F" w:rsidR="00F50E18" w:rsidRDefault="00F50E18" w:rsidP="00997161">
      <w:pPr>
        <w:autoSpaceDE w:val="0"/>
        <w:autoSpaceDN w:val="0"/>
        <w:adjustRightInd w:val="0"/>
        <w:jc w:val="both"/>
      </w:pPr>
      <w:r>
        <w:tab/>
        <w:t>ORDERED that the provisions of this Order</w:t>
      </w:r>
      <w:r w:rsidRPr="00F50E18">
        <w:t xml:space="preserve"> </w:t>
      </w:r>
      <w:r>
        <w:t>issued as proposed agency action, shall</w:t>
      </w:r>
      <w:r w:rsidR="00354CA1">
        <w:t xml:space="preserve"> </w:t>
      </w:r>
      <w:r>
        <w:t>become final and effective upon the issuance of a Consummating Order unless an appropriate</w:t>
      </w:r>
      <w:r w:rsidR="00354CA1">
        <w:t xml:space="preserve"> </w:t>
      </w:r>
      <w:r>
        <w:t>petition, in the form provided by Rule 28-106.201, Florida Administrative Code, is received by</w:t>
      </w:r>
      <w:r w:rsidR="00354CA1">
        <w:t xml:space="preserve"> </w:t>
      </w:r>
      <w:r>
        <w:t>the Commission Clerk, 2540 Shumard Oak Boulevard, Tallahassee, Florida 32399-0850, by the</w:t>
      </w:r>
      <w:r w:rsidR="00354CA1">
        <w:t xml:space="preserve"> </w:t>
      </w:r>
      <w:r>
        <w:t>close of business on the date set forth in the “Notice of Further Proceedings” attached hereto. It</w:t>
      </w:r>
      <w:r w:rsidR="00354CA1">
        <w:t xml:space="preserve"> </w:t>
      </w:r>
      <w:r>
        <w:t>is further</w:t>
      </w:r>
    </w:p>
    <w:p w14:paraId="33F5BCA2" w14:textId="77777777" w:rsidR="00F50E18" w:rsidRDefault="00F50E18" w:rsidP="00997161">
      <w:pPr>
        <w:autoSpaceDE w:val="0"/>
        <w:autoSpaceDN w:val="0"/>
        <w:adjustRightInd w:val="0"/>
        <w:jc w:val="both"/>
      </w:pPr>
      <w:r>
        <w:tab/>
      </w:r>
    </w:p>
    <w:p w14:paraId="755255FC" w14:textId="77777777" w:rsidR="00F50E18" w:rsidRDefault="00F50E18" w:rsidP="00F50E18">
      <w:pPr>
        <w:autoSpaceDE w:val="0"/>
        <w:autoSpaceDN w:val="0"/>
        <w:adjustRightInd w:val="0"/>
      </w:pPr>
      <w:r>
        <w:tab/>
        <w:t xml:space="preserve">ORDERED that in the event this Order becomes final, this docket shall be closed. </w:t>
      </w:r>
    </w:p>
    <w:p w14:paraId="217AAC00" w14:textId="77777777" w:rsidR="00192A85" w:rsidRDefault="00192A85" w:rsidP="00F50E18">
      <w:pPr>
        <w:autoSpaceDE w:val="0"/>
        <w:autoSpaceDN w:val="0"/>
        <w:adjustRightInd w:val="0"/>
      </w:pPr>
    </w:p>
    <w:p w14:paraId="687C072E" w14:textId="21F4F915" w:rsidR="00192A85" w:rsidRDefault="00192A85" w:rsidP="00FB0182">
      <w:pPr>
        <w:keepNext/>
        <w:keepLines/>
        <w:autoSpaceDE w:val="0"/>
        <w:autoSpaceDN w:val="0"/>
        <w:adjustRightInd w:val="0"/>
        <w:jc w:val="both"/>
      </w:pPr>
      <w:r>
        <w:lastRenderedPageBreak/>
        <w:tab/>
        <w:t xml:space="preserve">By ORDER of the Florida Public Service Commission this </w:t>
      </w:r>
      <w:bookmarkStart w:id="6" w:name="replaceDate"/>
      <w:bookmarkEnd w:id="6"/>
      <w:r w:rsidR="005E1222">
        <w:rPr>
          <w:u w:val="single"/>
        </w:rPr>
        <w:t>19th</w:t>
      </w:r>
      <w:r w:rsidR="005E1222">
        <w:t xml:space="preserve"> day of </w:t>
      </w:r>
      <w:r w:rsidR="005E1222">
        <w:rPr>
          <w:u w:val="single"/>
        </w:rPr>
        <w:t>June</w:t>
      </w:r>
      <w:r w:rsidR="005E1222">
        <w:t xml:space="preserve">, </w:t>
      </w:r>
      <w:r w:rsidR="005E1222">
        <w:rPr>
          <w:u w:val="single"/>
        </w:rPr>
        <w:t>2026</w:t>
      </w:r>
      <w:r w:rsidR="005E1222">
        <w:t>.</w:t>
      </w:r>
    </w:p>
    <w:p w14:paraId="19F5484A" w14:textId="77777777" w:rsidR="005E1222" w:rsidRPr="005E1222" w:rsidRDefault="005E1222" w:rsidP="00FB0182">
      <w:pPr>
        <w:keepNext/>
        <w:keepLines/>
        <w:autoSpaceDE w:val="0"/>
        <w:autoSpaceDN w:val="0"/>
        <w:adjustRightInd w:val="0"/>
        <w:jc w:val="both"/>
      </w:pPr>
    </w:p>
    <w:p w14:paraId="37C001D6" w14:textId="77777777" w:rsidR="00192A85" w:rsidRDefault="00192A85" w:rsidP="00FB0182">
      <w:pPr>
        <w:keepNext/>
        <w:keepLines/>
        <w:autoSpaceDE w:val="0"/>
        <w:autoSpaceDN w:val="0"/>
        <w:adjustRightInd w:val="0"/>
        <w:jc w:val="both"/>
      </w:pPr>
    </w:p>
    <w:p w14:paraId="6B52C81C" w14:textId="77777777" w:rsidR="00192A85" w:rsidRDefault="00192A85" w:rsidP="00FB0182">
      <w:pPr>
        <w:keepNext/>
        <w:keepLines/>
        <w:autoSpaceDE w:val="0"/>
        <w:autoSpaceDN w:val="0"/>
        <w:adjustRightInd w:val="0"/>
        <w:jc w:val="both"/>
      </w:pPr>
    </w:p>
    <w:p w14:paraId="36E2A555" w14:textId="77777777" w:rsidR="005E1222" w:rsidRDefault="005E1222" w:rsidP="00FB0182">
      <w:pPr>
        <w:keepNext/>
        <w:keepLines/>
        <w:autoSpaceDE w:val="0"/>
        <w:autoSpaceDN w:val="0"/>
        <w:adjustRightInd w:val="0"/>
        <w:jc w:val="both"/>
      </w:pPr>
    </w:p>
    <w:p w14:paraId="132ED783" w14:textId="77777777" w:rsidR="00192A85" w:rsidRDefault="00192A85" w:rsidP="00FB0182">
      <w:pPr>
        <w:keepNext/>
        <w:keepLines/>
        <w:autoSpaceDE w:val="0"/>
        <w:autoSpaceDN w:val="0"/>
        <w:adjustRightInd w:val="0"/>
        <w:jc w:val="both"/>
      </w:pPr>
    </w:p>
    <w:tbl>
      <w:tblPr>
        <w:tblW w:w="4720" w:type="dxa"/>
        <w:tblInd w:w="3800" w:type="dxa"/>
        <w:tblLayout w:type="fixed"/>
        <w:tblLook w:val="0000" w:firstRow="0" w:lastRow="0" w:firstColumn="0" w:lastColumn="0" w:noHBand="0" w:noVBand="0"/>
      </w:tblPr>
      <w:tblGrid>
        <w:gridCol w:w="686"/>
        <w:gridCol w:w="4034"/>
      </w:tblGrid>
      <w:tr w:rsidR="00192A85" w14:paraId="5A93E437" w14:textId="77777777" w:rsidTr="00FB0182">
        <w:tc>
          <w:tcPr>
            <w:tcW w:w="720" w:type="dxa"/>
            <w:shd w:val="clear" w:color="auto" w:fill="auto"/>
          </w:tcPr>
          <w:p w14:paraId="70F485CB" w14:textId="77777777" w:rsidR="00192A85" w:rsidRDefault="00192A85" w:rsidP="00FB0182">
            <w:pPr>
              <w:keepNext/>
              <w:keepLines/>
              <w:autoSpaceDE w:val="0"/>
              <w:autoSpaceDN w:val="0"/>
              <w:adjustRightInd w:val="0"/>
              <w:jc w:val="both"/>
              <w:rPr>
                <w:rFonts w:ascii="TimesNewRomanPSMT" w:hAnsi="TimesNewRomanPSMT" w:cs="TimesNewRomanPSMT"/>
              </w:rPr>
            </w:pPr>
            <w:bookmarkStart w:id="7" w:name="bkmrkSignature" w:colFirst="0" w:colLast="0"/>
          </w:p>
        </w:tc>
        <w:tc>
          <w:tcPr>
            <w:tcW w:w="4320" w:type="dxa"/>
            <w:tcBorders>
              <w:bottom w:val="single" w:sz="4" w:space="0" w:color="auto"/>
            </w:tcBorders>
            <w:shd w:val="clear" w:color="auto" w:fill="auto"/>
          </w:tcPr>
          <w:p w14:paraId="6FBDAC9D" w14:textId="53E5C7E4" w:rsidR="00192A85" w:rsidRDefault="005E1222" w:rsidP="00FB0182">
            <w:pPr>
              <w:keepNext/>
              <w:keepLines/>
              <w:autoSpaceDE w:val="0"/>
              <w:autoSpaceDN w:val="0"/>
              <w:adjustRightInd w:val="0"/>
              <w:jc w:val="both"/>
              <w:rPr>
                <w:rFonts w:ascii="TimesNewRomanPSMT" w:hAnsi="TimesNewRomanPSMT" w:cs="TimesNewRomanPSMT"/>
              </w:rPr>
            </w:pPr>
            <w:r>
              <w:rPr>
                <w:rFonts w:ascii="TimesNewRomanPSMT" w:hAnsi="TimesNewRomanPSMT" w:cs="TimesNewRomanPSMT"/>
              </w:rPr>
              <w:t>/s/ Adam J. Teitzman</w:t>
            </w:r>
          </w:p>
        </w:tc>
      </w:tr>
      <w:bookmarkEnd w:id="7"/>
      <w:tr w:rsidR="00192A85" w14:paraId="5DBCA9BC" w14:textId="77777777" w:rsidTr="00FB0182">
        <w:tc>
          <w:tcPr>
            <w:tcW w:w="720" w:type="dxa"/>
            <w:shd w:val="clear" w:color="auto" w:fill="auto"/>
          </w:tcPr>
          <w:p w14:paraId="76A70272" w14:textId="77777777" w:rsidR="00192A85" w:rsidRDefault="00192A85" w:rsidP="00FB0182">
            <w:pPr>
              <w:keepNext/>
              <w:keepLines/>
              <w:autoSpaceDE w:val="0"/>
              <w:autoSpaceDN w:val="0"/>
              <w:adjustRightInd w:val="0"/>
              <w:jc w:val="both"/>
              <w:rPr>
                <w:rFonts w:ascii="TimesNewRomanPSMT" w:hAnsi="TimesNewRomanPSMT" w:cs="TimesNewRomanPSMT"/>
              </w:rPr>
            </w:pPr>
          </w:p>
        </w:tc>
        <w:tc>
          <w:tcPr>
            <w:tcW w:w="4320" w:type="dxa"/>
            <w:tcBorders>
              <w:top w:val="single" w:sz="4" w:space="0" w:color="auto"/>
            </w:tcBorders>
            <w:shd w:val="clear" w:color="auto" w:fill="auto"/>
          </w:tcPr>
          <w:p w14:paraId="0C7A7238" w14:textId="77777777" w:rsidR="00192A85" w:rsidRDefault="00192A85" w:rsidP="00FB0182">
            <w:pPr>
              <w:keepNext/>
              <w:keepLines/>
              <w:autoSpaceDE w:val="0"/>
              <w:autoSpaceDN w:val="0"/>
              <w:adjustRightInd w:val="0"/>
              <w:jc w:val="both"/>
              <w:rPr>
                <w:rFonts w:ascii="TimesNewRomanPSMT" w:hAnsi="TimesNewRomanPSMT" w:cs="TimesNewRomanPSMT"/>
              </w:rPr>
            </w:pPr>
            <w:r>
              <w:rPr>
                <w:rFonts w:ascii="TimesNewRomanPSMT" w:hAnsi="TimesNewRomanPSMT" w:cs="TimesNewRomanPSMT"/>
              </w:rPr>
              <w:t>ADAM TEITZMAN</w:t>
            </w:r>
          </w:p>
          <w:p w14:paraId="0015C1E9" w14:textId="507C94A0" w:rsidR="00192A85" w:rsidRDefault="00192A85" w:rsidP="00FB0182">
            <w:pPr>
              <w:keepNext/>
              <w:keepLines/>
              <w:autoSpaceDE w:val="0"/>
              <w:autoSpaceDN w:val="0"/>
              <w:adjustRightInd w:val="0"/>
              <w:jc w:val="both"/>
              <w:rPr>
                <w:rFonts w:ascii="TimesNewRomanPSMT" w:hAnsi="TimesNewRomanPSMT" w:cs="TimesNewRomanPSMT"/>
              </w:rPr>
            </w:pPr>
            <w:r>
              <w:rPr>
                <w:rFonts w:ascii="TimesNewRomanPSMT" w:hAnsi="TimesNewRomanPSMT" w:cs="TimesNewRomanPSMT"/>
              </w:rPr>
              <w:t>Commission Clerk</w:t>
            </w:r>
          </w:p>
        </w:tc>
      </w:tr>
    </w:tbl>
    <w:p w14:paraId="5A0F594E" w14:textId="77777777" w:rsidR="00192A85" w:rsidRDefault="00192A85" w:rsidP="00FB0182">
      <w:pPr>
        <w:pStyle w:val="OrderSigInfo"/>
        <w:keepNext/>
        <w:keepLines/>
      </w:pPr>
      <w:r>
        <w:t>Florida Public Service Commission</w:t>
      </w:r>
    </w:p>
    <w:p w14:paraId="0BB6D671" w14:textId="77777777" w:rsidR="00192A85" w:rsidRDefault="00192A85" w:rsidP="00FB0182">
      <w:pPr>
        <w:pStyle w:val="OrderSigInfo"/>
        <w:keepNext/>
        <w:keepLines/>
      </w:pPr>
      <w:r>
        <w:t>2540 Shumard Oak Boulevard</w:t>
      </w:r>
    </w:p>
    <w:p w14:paraId="34E9FC4B" w14:textId="77777777" w:rsidR="00192A85" w:rsidRDefault="00192A85" w:rsidP="00FB0182">
      <w:pPr>
        <w:pStyle w:val="OrderSigInfo"/>
        <w:keepNext/>
        <w:keepLines/>
      </w:pPr>
      <w:r>
        <w:t>Tallahassee, Florida 32399</w:t>
      </w:r>
    </w:p>
    <w:p w14:paraId="513A6E60" w14:textId="77777777" w:rsidR="00192A85" w:rsidRDefault="00192A85" w:rsidP="00FB0182">
      <w:pPr>
        <w:pStyle w:val="OrderSigInfo"/>
        <w:keepNext/>
        <w:keepLines/>
      </w:pPr>
      <w:r>
        <w:t>(850) 413</w:t>
      </w:r>
      <w:r>
        <w:noBreakHyphen/>
        <w:t>6770</w:t>
      </w:r>
    </w:p>
    <w:p w14:paraId="7A2E121B" w14:textId="77777777" w:rsidR="00192A85" w:rsidRDefault="00192A85" w:rsidP="00FB0182">
      <w:pPr>
        <w:pStyle w:val="OrderSigInfo"/>
        <w:keepNext/>
        <w:keepLines/>
      </w:pPr>
      <w:r>
        <w:t>www.floridapsc.com</w:t>
      </w:r>
    </w:p>
    <w:p w14:paraId="58FB118F" w14:textId="77777777" w:rsidR="00192A85" w:rsidRDefault="00192A85" w:rsidP="00FB0182">
      <w:pPr>
        <w:pStyle w:val="OrderSigInfo"/>
        <w:keepNext/>
        <w:keepLines/>
      </w:pPr>
    </w:p>
    <w:p w14:paraId="7E62E038" w14:textId="77777777" w:rsidR="00192A85" w:rsidRDefault="00192A85" w:rsidP="00FB0182">
      <w:pPr>
        <w:pStyle w:val="OrderSigInfo"/>
        <w:keepNext/>
        <w:keepLines/>
      </w:pPr>
      <w:r>
        <w:t>Copies furnished:  A copy of this document is provided to the parties of record at the time of issuance and, if applicable, interested persons.</w:t>
      </w:r>
    </w:p>
    <w:p w14:paraId="08265751" w14:textId="78DE2CA0" w:rsidR="00192A85" w:rsidRDefault="00192A85" w:rsidP="00FB0182">
      <w:pPr>
        <w:pStyle w:val="OrderBody"/>
        <w:keepNext/>
        <w:keepLines/>
      </w:pPr>
    </w:p>
    <w:p w14:paraId="4128F2C3" w14:textId="77777777" w:rsidR="00192A85" w:rsidRDefault="00192A85" w:rsidP="00FB0182">
      <w:pPr>
        <w:keepNext/>
        <w:keepLines/>
        <w:autoSpaceDE w:val="0"/>
        <w:autoSpaceDN w:val="0"/>
        <w:adjustRightInd w:val="0"/>
        <w:jc w:val="both"/>
        <w:rPr>
          <w:rFonts w:ascii="TimesNewRomanPSMT" w:hAnsi="TimesNewRomanPSMT" w:cs="TimesNewRomanPSMT"/>
        </w:rPr>
      </w:pPr>
    </w:p>
    <w:p w14:paraId="26F622DA" w14:textId="0AFA9FCE" w:rsidR="00192A85" w:rsidRDefault="00192A85" w:rsidP="005E1222">
      <w:pPr>
        <w:keepNext/>
        <w:keepLines/>
        <w:autoSpaceDE w:val="0"/>
        <w:autoSpaceDN w:val="0"/>
        <w:adjustRightInd w:val="0"/>
        <w:jc w:val="both"/>
        <w:rPr>
          <w:rFonts w:ascii="TimesNewRomanPSMT" w:hAnsi="TimesNewRomanPSMT" w:cs="TimesNewRomanPSMT"/>
        </w:rPr>
      </w:pPr>
      <w:r>
        <w:rPr>
          <w:rFonts w:ascii="TimesNewRomanPSMT" w:hAnsi="TimesNewRomanPSMT" w:cs="TimesNewRomanPSMT"/>
        </w:rPr>
        <w:t>HN</w:t>
      </w:r>
    </w:p>
    <w:p w14:paraId="52138092" w14:textId="77777777" w:rsidR="00192A85" w:rsidRDefault="00192A85" w:rsidP="00192A85">
      <w:pPr>
        <w:autoSpaceDE w:val="0"/>
        <w:autoSpaceDN w:val="0"/>
        <w:adjustRightInd w:val="0"/>
        <w:jc w:val="both"/>
        <w:rPr>
          <w:rFonts w:ascii="TimesNewRomanPSMT" w:hAnsi="TimesNewRomanPSMT" w:cs="TimesNewRomanPSMT"/>
        </w:rPr>
      </w:pPr>
    </w:p>
    <w:p w14:paraId="71C30CAA" w14:textId="77777777" w:rsidR="00192A85" w:rsidRDefault="00192A85" w:rsidP="00192A85">
      <w:pPr>
        <w:pStyle w:val="CenterUnderline"/>
      </w:pPr>
      <w:r>
        <w:t>NOTICE OF FURTHER PROCEEDINGS OR JUDICIAL REVIEW</w:t>
      </w:r>
    </w:p>
    <w:p w14:paraId="444F46D5" w14:textId="371312BF" w:rsidR="00192A85" w:rsidRDefault="00192A85" w:rsidP="00192A85">
      <w:pPr>
        <w:pStyle w:val="CenterUnderline"/>
      </w:pPr>
    </w:p>
    <w:p w14:paraId="730B37A6" w14:textId="77777777" w:rsidR="00192A85" w:rsidRDefault="00192A85" w:rsidP="00192A85">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3C3E13F5" w14:textId="77777777" w:rsidR="00192A85" w:rsidRDefault="00192A85" w:rsidP="00192A85">
      <w:pPr>
        <w:pStyle w:val="OrderBody"/>
      </w:pPr>
    </w:p>
    <w:p w14:paraId="2280EB9A" w14:textId="77777777" w:rsidR="00192A85" w:rsidRDefault="00192A85" w:rsidP="00192A85">
      <w:pPr>
        <w:pStyle w:val="OrderBody"/>
      </w:pPr>
      <w:r>
        <w:tab/>
        <w:t>Mediation may be available on a case-by-case basis.  If mediation is conducted, it does not affect a substantially interested person's right to a hearing.</w:t>
      </w:r>
    </w:p>
    <w:p w14:paraId="65D5AFEC" w14:textId="77777777" w:rsidR="00192A85" w:rsidRDefault="00192A85" w:rsidP="00192A85">
      <w:pPr>
        <w:pStyle w:val="OrderBody"/>
      </w:pPr>
    </w:p>
    <w:p w14:paraId="511A7685" w14:textId="22ABFB6A" w:rsidR="00192A85" w:rsidRDefault="00192A85" w:rsidP="00192A85">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5E1222">
        <w:rPr>
          <w:u w:val="single"/>
        </w:rPr>
        <w:t>July 10, 2026</w:t>
      </w:r>
      <w:r>
        <w:t>.</w:t>
      </w:r>
    </w:p>
    <w:p w14:paraId="16E04391" w14:textId="77777777" w:rsidR="00192A85" w:rsidRDefault="00192A85" w:rsidP="00192A85">
      <w:pPr>
        <w:pStyle w:val="OrderBody"/>
      </w:pPr>
    </w:p>
    <w:p w14:paraId="16A54427" w14:textId="77777777" w:rsidR="00192A85" w:rsidRDefault="00192A85" w:rsidP="00192A85">
      <w:pPr>
        <w:pStyle w:val="OrderBody"/>
      </w:pPr>
      <w:r>
        <w:tab/>
        <w:t>In the absence of such a petition, this order shall become final and effective upon the issuance of a Consummating Order.</w:t>
      </w:r>
    </w:p>
    <w:p w14:paraId="3CA1FEC3" w14:textId="77777777" w:rsidR="00192A85" w:rsidRDefault="00192A85" w:rsidP="00192A85">
      <w:pPr>
        <w:pStyle w:val="OrderBody"/>
      </w:pPr>
    </w:p>
    <w:p w14:paraId="6F364CD8" w14:textId="77777777" w:rsidR="00192A85" w:rsidRDefault="00192A85" w:rsidP="00192A85">
      <w:pPr>
        <w:pStyle w:val="OrderBody"/>
      </w:pPr>
      <w:r>
        <w:tab/>
        <w:t>Any objection or protest filed in this/these docket(s) before the issuance date of this order is considered abandoned unless it satisfies the foregoing conditions and is renewed within the specified protest period.</w:t>
      </w:r>
    </w:p>
    <w:sectPr w:rsidR="00192A85">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ECAED" w14:textId="77777777" w:rsidR="005E05B6" w:rsidRDefault="005E05B6">
      <w:r>
        <w:separator/>
      </w:r>
    </w:p>
  </w:endnote>
  <w:endnote w:type="continuationSeparator" w:id="0">
    <w:p w14:paraId="73F7914E" w14:textId="77777777" w:rsidR="005E05B6" w:rsidRDefault="005E0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E9C84" w14:textId="77777777" w:rsidR="00FA6EFD" w:rsidRDefault="00FA6EFD">
    <w:pPr>
      <w:pStyle w:val="Footer"/>
    </w:pPr>
  </w:p>
  <w:p w14:paraId="6CD73C55"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BD948" w14:textId="77777777" w:rsidR="005E05B6" w:rsidRDefault="005E05B6">
      <w:r>
        <w:separator/>
      </w:r>
    </w:p>
  </w:footnote>
  <w:footnote w:type="continuationSeparator" w:id="0">
    <w:p w14:paraId="2F3039B7" w14:textId="77777777" w:rsidR="005E05B6" w:rsidRDefault="005E05B6">
      <w:r>
        <w:continuationSeparator/>
      </w:r>
    </w:p>
  </w:footnote>
  <w:footnote w:id="1">
    <w:p w14:paraId="4D073931" w14:textId="77777777" w:rsidR="00A416D9" w:rsidRDefault="00A416D9" w:rsidP="00A416D9">
      <w:pPr>
        <w:autoSpaceDE w:val="0"/>
        <w:autoSpaceDN w:val="0"/>
        <w:adjustRightInd w:val="0"/>
        <w:rPr>
          <w:rFonts w:ascii="TimesNewRomanPSMT" w:hAnsi="TimesNewRomanPSMT" w:cs="TimesNewRomanPSMT"/>
          <w:sz w:val="20"/>
          <w:szCs w:val="20"/>
        </w:rPr>
      </w:pPr>
      <w:r>
        <w:rPr>
          <w:rStyle w:val="FootnoteReference"/>
        </w:rPr>
        <w:footnoteRef/>
      </w:r>
      <w:r>
        <w:t xml:space="preserve"> </w:t>
      </w:r>
      <w:r>
        <w:rPr>
          <w:rFonts w:ascii="TimesNewRomanPSMT" w:hAnsi="TimesNewRomanPSMT" w:cs="TimesNewRomanPSMT"/>
          <w:sz w:val="20"/>
          <w:szCs w:val="20"/>
        </w:rPr>
        <w:t>Mr. Gonzalo Lever is the TECO customer of record at the Petitioners’ property. While the informal complaint was</w:t>
      </w:r>
    </w:p>
    <w:p w14:paraId="2929E358" w14:textId="77777777" w:rsidR="00A416D9" w:rsidRDefault="00A416D9" w:rsidP="00A416D9">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pursued by Mr Merchan, Mr. Lever was included in correspondence throughout the informal complaint process and</w:t>
      </w:r>
    </w:p>
    <w:p w14:paraId="470378F1" w14:textId="77777777" w:rsidR="00A416D9" w:rsidRDefault="00A416D9" w:rsidP="00A416D9">
      <w:pPr>
        <w:pStyle w:val="FootnoteText"/>
      </w:pPr>
      <w:r>
        <w:rPr>
          <w:rFonts w:ascii="TimesNewRomanPSMT" w:hAnsi="TimesNewRomanPSMT" w:cs="TimesNewRomanPSMT"/>
        </w:rPr>
        <w:t>has co-signed onto the formal complaint that initiated this docket.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0D09" w14:textId="6500B42F" w:rsidR="00FA6EFD" w:rsidRDefault="00FA6EFD">
    <w:pPr>
      <w:pStyle w:val="OrderHeader"/>
    </w:pPr>
    <w:r>
      <w:t xml:space="preserve">ORDER NO. </w:t>
    </w:r>
    <w:r w:rsidR="005E1222">
      <w:fldChar w:fldCharType="begin"/>
    </w:r>
    <w:r w:rsidR="005E1222">
      <w:instrText xml:space="preserve"> REF OrderNo0220 </w:instrText>
    </w:r>
    <w:r w:rsidR="005E1222">
      <w:fldChar w:fldCharType="separate"/>
    </w:r>
    <w:r w:rsidR="005E1222">
      <w:t>PSC-2026-0220-PAA-EI</w:t>
    </w:r>
    <w:r w:rsidR="005E1222">
      <w:fldChar w:fldCharType="end"/>
    </w:r>
  </w:p>
  <w:p w14:paraId="26B4CD51" w14:textId="77777777" w:rsidR="00FA6EFD" w:rsidRDefault="004C7206">
    <w:pPr>
      <w:pStyle w:val="OrderHeader"/>
    </w:pPr>
    <w:bookmarkStart w:id="8" w:name="HeaderDocketNo"/>
    <w:bookmarkEnd w:id="8"/>
    <w:r>
      <w:t>DOCKET NO. 20260014-EI</w:t>
    </w:r>
  </w:p>
  <w:p w14:paraId="01355500" w14:textId="41111D06"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B0182">
      <w:rPr>
        <w:rStyle w:val="PageNumber"/>
        <w:noProof/>
      </w:rPr>
      <w:t>3</w:t>
    </w:r>
    <w:r>
      <w:rPr>
        <w:rStyle w:val="PageNumber"/>
      </w:rPr>
      <w:fldChar w:fldCharType="end"/>
    </w:r>
  </w:p>
  <w:p w14:paraId="760A99CB"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14-EI"/>
  </w:docVars>
  <w:rsids>
    <w:rsidRoot w:val="004C720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39DD"/>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2A85"/>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14880"/>
    <w:rsid w:val="00321702"/>
    <w:rsid w:val="003231C7"/>
    <w:rsid w:val="00323839"/>
    <w:rsid w:val="003270C4"/>
    <w:rsid w:val="00331ED0"/>
    <w:rsid w:val="00332B0A"/>
    <w:rsid w:val="00333A41"/>
    <w:rsid w:val="00341036"/>
    <w:rsid w:val="00345434"/>
    <w:rsid w:val="00351C22"/>
    <w:rsid w:val="0035495B"/>
    <w:rsid w:val="00354CA1"/>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7206"/>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35485"/>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05B6"/>
    <w:rsid w:val="005E1222"/>
    <w:rsid w:val="005E751B"/>
    <w:rsid w:val="005F2751"/>
    <w:rsid w:val="005F3354"/>
    <w:rsid w:val="005F4AD6"/>
    <w:rsid w:val="0060005E"/>
    <w:rsid w:val="0060095B"/>
    <w:rsid w:val="00601266"/>
    <w:rsid w:val="00606DEB"/>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6E7E"/>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0E96"/>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286"/>
    <w:rsid w:val="00966A9D"/>
    <w:rsid w:val="0096742B"/>
    <w:rsid w:val="00967C64"/>
    <w:rsid w:val="009718C5"/>
    <w:rsid w:val="00976AFF"/>
    <w:rsid w:val="009823BE"/>
    <w:rsid w:val="009839C1"/>
    <w:rsid w:val="00986AED"/>
    <w:rsid w:val="009924CF"/>
    <w:rsid w:val="00993130"/>
    <w:rsid w:val="00994100"/>
    <w:rsid w:val="0099632D"/>
    <w:rsid w:val="00997161"/>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10E85"/>
    <w:rsid w:val="00A228DA"/>
    <w:rsid w:val="00A22B28"/>
    <w:rsid w:val="00A26DC0"/>
    <w:rsid w:val="00A3351E"/>
    <w:rsid w:val="00A36867"/>
    <w:rsid w:val="00A416D9"/>
    <w:rsid w:val="00A4303C"/>
    <w:rsid w:val="00A46CAF"/>
    <w:rsid w:val="00A47099"/>
    <w:rsid w:val="00A470FD"/>
    <w:rsid w:val="00A50B5E"/>
    <w:rsid w:val="00A52B5D"/>
    <w:rsid w:val="00A571FA"/>
    <w:rsid w:val="00A61553"/>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2132"/>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05DB"/>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6D56"/>
    <w:rsid w:val="00BE7A0C"/>
    <w:rsid w:val="00BF2928"/>
    <w:rsid w:val="00BF5D60"/>
    <w:rsid w:val="00BF6691"/>
    <w:rsid w:val="00C028FC"/>
    <w:rsid w:val="00C037F2"/>
    <w:rsid w:val="00C0386D"/>
    <w:rsid w:val="00C065A1"/>
    <w:rsid w:val="00C06FB1"/>
    <w:rsid w:val="00C10ED5"/>
    <w:rsid w:val="00C12574"/>
    <w:rsid w:val="00C12CB3"/>
    <w:rsid w:val="00C151A6"/>
    <w:rsid w:val="00C1664B"/>
    <w:rsid w:val="00C24098"/>
    <w:rsid w:val="00C2571F"/>
    <w:rsid w:val="00C26BC1"/>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1938"/>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0E18"/>
    <w:rsid w:val="00F54380"/>
    <w:rsid w:val="00F54B47"/>
    <w:rsid w:val="00F5538C"/>
    <w:rsid w:val="00F61247"/>
    <w:rsid w:val="00F61F61"/>
    <w:rsid w:val="00F63191"/>
    <w:rsid w:val="00F6702E"/>
    <w:rsid w:val="00F70E84"/>
    <w:rsid w:val="00F7792B"/>
    <w:rsid w:val="00F80685"/>
    <w:rsid w:val="00F94968"/>
    <w:rsid w:val="00FA092B"/>
    <w:rsid w:val="00FA4F6C"/>
    <w:rsid w:val="00FA6EFD"/>
    <w:rsid w:val="00FB0182"/>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30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Revision">
    <w:name w:val="Revision"/>
    <w:hidden/>
    <w:uiPriority w:val="99"/>
    <w:semiHidden/>
    <w:rsid w:val="00F7792B"/>
    <w:rPr>
      <w:sz w:val="24"/>
      <w:szCs w:val="24"/>
    </w:rPr>
  </w:style>
  <w:style w:type="character" w:styleId="CommentReference">
    <w:name w:val="annotation reference"/>
    <w:basedOn w:val="DefaultParagraphFont"/>
    <w:semiHidden/>
    <w:unhideWhenUsed/>
    <w:rsid w:val="00B105DB"/>
    <w:rPr>
      <w:sz w:val="16"/>
      <w:szCs w:val="16"/>
    </w:rPr>
  </w:style>
  <w:style w:type="paragraph" w:styleId="CommentText">
    <w:name w:val="annotation text"/>
    <w:basedOn w:val="Normal"/>
    <w:link w:val="CommentTextChar"/>
    <w:unhideWhenUsed/>
    <w:rsid w:val="00B105DB"/>
    <w:rPr>
      <w:sz w:val="20"/>
      <w:szCs w:val="20"/>
    </w:rPr>
  </w:style>
  <w:style w:type="character" w:customStyle="1" w:styleId="CommentTextChar">
    <w:name w:val="Comment Text Char"/>
    <w:basedOn w:val="DefaultParagraphFont"/>
    <w:link w:val="CommentText"/>
    <w:rsid w:val="00B105DB"/>
  </w:style>
  <w:style w:type="paragraph" w:styleId="CommentSubject">
    <w:name w:val="annotation subject"/>
    <w:basedOn w:val="CommentText"/>
    <w:next w:val="CommentText"/>
    <w:link w:val="CommentSubjectChar"/>
    <w:semiHidden/>
    <w:unhideWhenUsed/>
    <w:rsid w:val="00B105DB"/>
    <w:rPr>
      <w:b/>
      <w:bCs/>
    </w:rPr>
  </w:style>
  <w:style w:type="character" w:customStyle="1" w:styleId="CommentSubjectChar">
    <w:name w:val="Comment Subject Char"/>
    <w:basedOn w:val="CommentTextChar"/>
    <w:link w:val="CommentSubject"/>
    <w:semiHidden/>
    <w:rsid w:val="00B105DB"/>
    <w:rPr>
      <w:b/>
      <w:bCs/>
    </w:rPr>
  </w:style>
  <w:style w:type="paragraph" w:styleId="BalloonText">
    <w:name w:val="Balloon Text"/>
    <w:basedOn w:val="Normal"/>
    <w:link w:val="BalloonTextChar"/>
    <w:semiHidden/>
    <w:unhideWhenUsed/>
    <w:rsid w:val="0099632D"/>
    <w:rPr>
      <w:rFonts w:ascii="Segoe UI" w:hAnsi="Segoe UI" w:cs="Segoe UI"/>
      <w:sz w:val="18"/>
      <w:szCs w:val="18"/>
    </w:rPr>
  </w:style>
  <w:style w:type="character" w:customStyle="1" w:styleId="BalloonTextChar">
    <w:name w:val="Balloon Text Char"/>
    <w:basedOn w:val="DefaultParagraphFont"/>
    <w:link w:val="BalloonText"/>
    <w:semiHidden/>
    <w:rsid w:val="009963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1174E-7896-45E0-AA3F-D71E671D7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1246</Words>
  <Characters>7103</Characters>
  <Application>Microsoft Office Word</Application>
  <DocSecurity>0</DocSecurity>
  <Lines>59</Lines>
  <Paragraphs>16</Paragraphs>
  <ScaleCrop>false</ScaleCrop>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2026-06-19T15:18:00Z</dcterms:created>
  <dcterms:modified xsi:type="dcterms:W3CDTF">2026-06-19T15:22:00Z</dcterms:modified>
</cp:coreProperties>
</file>