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7807B" w14:textId="77777777" w:rsidR="009A5CBE" w:rsidRDefault="009A5CBE" w:rsidP="009A5CBE">
      <w:pPr>
        <w:pStyle w:val="OrderHeading"/>
      </w:pPr>
      <w:r>
        <w:t>BEFORE THE FLORIDA PUBLIC SERVICE COMMISSION</w:t>
      </w:r>
    </w:p>
    <w:p w14:paraId="7FE8EC1C" w14:textId="77777777" w:rsidR="009A5CBE" w:rsidRDefault="009A5CBE" w:rsidP="009A5CBE">
      <w:pPr>
        <w:pStyle w:val="OrderBody"/>
      </w:pPr>
    </w:p>
    <w:p w14:paraId="25B6F0EC" w14:textId="77777777" w:rsidR="009A5CBE" w:rsidRDefault="009A5CBE" w:rsidP="009A5CB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A5CBE" w:rsidRPr="00C63FCF" w14:paraId="283ADE12" w14:textId="77777777" w:rsidTr="00C63FCF">
        <w:trPr>
          <w:trHeight w:val="828"/>
        </w:trPr>
        <w:tc>
          <w:tcPr>
            <w:tcW w:w="4788" w:type="dxa"/>
            <w:tcBorders>
              <w:bottom w:val="single" w:sz="8" w:space="0" w:color="auto"/>
              <w:right w:val="double" w:sz="6" w:space="0" w:color="auto"/>
            </w:tcBorders>
            <w:shd w:val="clear" w:color="auto" w:fill="auto"/>
          </w:tcPr>
          <w:p w14:paraId="76456639" w14:textId="77777777" w:rsidR="009A5CBE" w:rsidRDefault="009A5CBE"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5F6F8667" w14:textId="77777777" w:rsidR="009A5CBE" w:rsidRDefault="009A5CBE" w:rsidP="009A5CBE">
            <w:pPr>
              <w:pStyle w:val="OrderBody"/>
            </w:pPr>
            <w:r>
              <w:t xml:space="preserve">DOCKET NO. </w:t>
            </w:r>
            <w:bookmarkStart w:id="1" w:name="SSDocketNo"/>
            <w:bookmarkEnd w:id="1"/>
            <w:r>
              <w:t>20260064-EI</w:t>
            </w:r>
          </w:p>
          <w:p w14:paraId="5483F442" w14:textId="0CD8E4CD" w:rsidR="009A5CBE" w:rsidRDefault="009A5CBE" w:rsidP="00C63FCF">
            <w:pPr>
              <w:pStyle w:val="OrderBody"/>
              <w:tabs>
                <w:tab w:val="center" w:pos="4320"/>
                <w:tab w:val="right" w:pos="8640"/>
              </w:tabs>
              <w:jc w:val="left"/>
            </w:pPr>
            <w:r>
              <w:t xml:space="preserve">ORDER NO. </w:t>
            </w:r>
            <w:bookmarkStart w:id="2" w:name="OrderNo0234"/>
            <w:r w:rsidR="00D6576D">
              <w:t>PSC-2026-0234-PCO-EI</w:t>
            </w:r>
            <w:bookmarkEnd w:id="2"/>
          </w:p>
          <w:p w14:paraId="653E75D2" w14:textId="77CE39A7" w:rsidR="009A5CBE" w:rsidRDefault="009A5CBE" w:rsidP="00C63FCF">
            <w:pPr>
              <w:pStyle w:val="OrderBody"/>
              <w:tabs>
                <w:tab w:val="center" w:pos="4320"/>
                <w:tab w:val="right" w:pos="8640"/>
              </w:tabs>
              <w:jc w:val="left"/>
            </w:pPr>
            <w:r>
              <w:t xml:space="preserve">ISSUED: </w:t>
            </w:r>
            <w:r w:rsidR="00D6576D">
              <w:t>June 23, 2026</w:t>
            </w:r>
          </w:p>
        </w:tc>
      </w:tr>
    </w:tbl>
    <w:p w14:paraId="756617C7" w14:textId="77777777" w:rsidR="009A5CBE" w:rsidRDefault="009A5CBE" w:rsidP="009A5CBE"/>
    <w:p w14:paraId="68AB12D2" w14:textId="77777777" w:rsidR="00CB5276" w:rsidRDefault="00D611DF" w:rsidP="009A5CBE">
      <w:r>
        <w:t xml:space="preserve"> </w:t>
      </w:r>
    </w:p>
    <w:p w14:paraId="05FDE0ED" w14:textId="77777777" w:rsidR="00CB5276" w:rsidRDefault="009A5CBE" w:rsidP="009A5CBE">
      <w:pPr>
        <w:pStyle w:val="CenterUnderline"/>
      </w:pPr>
      <w:bookmarkStart w:id="3" w:name="Commissioners"/>
      <w:bookmarkEnd w:id="3"/>
      <w:r>
        <w:t>ORDER</w:t>
      </w:r>
      <w:bookmarkStart w:id="4" w:name="OrderTitle"/>
      <w:r>
        <w:t xml:space="preserve"> GRANTING INTERVENTION FOR WHITE SPRINGS AGRICULTURAL CHEMICALS, INC. d/b/a PCS PHOSPHATE – WHITE SPRINGS </w:t>
      </w:r>
      <w:bookmarkEnd w:id="4"/>
    </w:p>
    <w:p w14:paraId="77AAA761" w14:textId="77777777" w:rsidR="009A5CBE" w:rsidRDefault="009A5CBE" w:rsidP="009A5CBE">
      <w:pPr>
        <w:pStyle w:val="CenterUnderline"/>
      </w:pPr>
    </w:p>
    <w:p w14:paraId="68E438C9" w14:textId="77777777" w:rsidR="009A5CBE" w:rsidRDefault="009A5CBE" w:rsidP="009A5CBE">
      <w:pPr>
        <w:pStyle w:val="OrderBody"/>
      </w:pPr>
    </w:p>
    <w:p w14:paraId="16635D4D" w14:textId="77777777" w:rsidR="009A5CBE" w:rsidRDefault="00CC6AF7" w:rsidP="00F96F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5" w:name="OrderText"/>
      <w:bookmarkEnd w:id="5"/>
      <w:r>
        <w:tab/>
        <w:t xml:space="preserve">On </w:t>
      </w:r>
      <w:r w:rsidR="00614617">
        <w:t>April 22, 2026</w:t>
      </w:r>
      <w:r>
        <w:t>, Duke Energy Florida, LLC (DEF or Utility) filed a petition requesting approval of a new large load tariff with</w:t>
      </w:r>
      <w:r w:rsidR="00614617" w:rsidRPr="00614617">
        <w:t xml:space="preserve"> </w:t>
      </w:r>
      <w:r w:rsidR="00614617" w:rsidRPr="005F2566">
        <w:t>a</w:t>
      </w:r>
      <w:r w:rsidR="00614617">
        <w:t xml:space="preserve"> policy applicable to large electric users </w:t>
      </w:r>
      <w:r w:rsidR="00614617" w:rsidRPr="005F2566">
        <w:t xml:space="preserve">and </w:t>
      </w:r>
      <w:r w:rsidR="00614617">
        <w:t xml:space="preserve">an </w:t>
      </w:r>
      <w:r w:rsidR="00614617" w:rsidRPr="005F2566">
        <w:t xml:space="preserve">associated </w:t>
      </w:r>
      <w:r w:rsidR="00614617">
        <w:t>customer agreement</w:t>
      </w:r>
      <w:r>
        <w:t xml:space="preserve">. Discovery guidelines, hearing procedures, and controlling dates were established by the Order Establishing Procedure, Order No. </w:t>
      </w:r>
      <w:r w:rsidRPr="00B61722">
        <w:t>PSC-202</w:t>
      </w:r>
      <w:r>
        <w:t>6</w:t>
      </w:r>
      <w:r w:rsidRPr="00B61722">
        <w:t>-</w:t>
      </w:r>
      <w:r>
        <w:t>0120</w:t>
      </w:r>
      <w:r w:rsidRPr="00B61722">
        <w:t>-PCO-EI</w:t>
      </w:r>
      <w:r>
        <w:t>, issued on May 5, 2026.</w:t>
      </w:r>
      <w:r w:rsidR="009A5CBE">
        <w:t xml:space="preserve"> This docket is currently scheduled for hearing on </w:t>
      </w:r>
      <w:r w:rsidR="00067FEC">
        <w:t>August 25-26</w:t>
      </w:r>
      <w:r w:rsidR="009A5CBE">
        <w:t>, 20</w:t>
      </w:r>
      <w:r w:rsidR="00C47129">
        <w:t>26</w:t>
      </w:r>
      <w:r w:rsidR="009A5CBE">
        <w:t>.</w:t>
      </w:r>
    </w:p>
    <w:p w14:paraId="7CFF041F" w14:textId="77777777" w:rsidR="009A5CBE" w:rsidRDefault="009A5CBE" w:rsidP="009A5CBE">
      <w:pPr>
        <w:jc w:val="both"/>
      </w:pPr>
    </w:p>
    <w:p w14:paraId="5E4E1F75" w14:textId="77777777" w:rsidR="009A5CBE" w:rsidRPr="00173CF1" w:rsidRDefault="009A5CBE" w:rsidP="009A5CBE">
      <w:pPr>
        <w:jc w:val="both"/>
        <w:rPr>
          <w:u w:val="single"/>
        </w:rPr>
      </w:pPr>
      <w:r w:rsidRPr="00173CF1">
        <w:rPr>
          <w:u w:val="single"/>
        </w:rPr>
        <w:t>Petition for Intervention</w:t>
      </w:r>
    </w:p>
    <w:p w14:paraId="7619B1A1" w14:textId="77777777" w:rsidR="009A5CBE" w:rsidRDefault="009A5CBE" w:rsidP="009A5CBE">
      <w:pPr>
        <w:jc w:val="both"/>
      </w:pPr>
    </w:p>
    <w:p w14:paraId="52C05D6E" w14:textId="325FE08E" w:rsidR="009A5CBE" w:rsidRDefault="009A5CBE" w:rsidP="009A5CBE">
      <w:pPr>
        <w:jc w:val="both"/>
      </w:pPr>
      <w:r>
        <w:tab/>
      </w:r>
      <w:r w:rsidR="00CC6AF7">
        <w:t>On</w:t>
      </w:r>
      <w:r w:rsidR="00CC6AF7" w:rsidRPr="00E94B31">
        <w:t xml:space="preserve"> </w:t>
      </w:r>
      <w:r w:rsidR="00CC6AF7">
        <w:t>April 30, 2026</w:t>
      </w:r>
      <w:r w:rsidR="00CC6AF7" w:rsidRPr="00E94B31">
        <w:t xml:space="preserve">, </w:t>
      </w:r>
      <w:r w:rsidR="00CC6AF7">
        <w:t>White Springs Agricultural Chemicals, Inc. d/b/a PCS Phosphate – White Springs (PCS Phosphate)</w:t>
      </w:r>
      <w:r w:rsidR="00CC6AF7" w:rsidRPr="00E94B31">
        <w:t xml:space="preserve"> </w:t>
      </w:r>
      <w:r w:rsidR="00CC6AF7">
        <w:t>filed its Petition</w:t>
      </w:r>
      <w:r w:rsidR="00CC6AF7" w:rsidRPr="00E94B31">
        <w:t xml:space="preserve"> to </w:t>
      </w:r>
      <w:r w:rsidR="00CC6AF7">
        <w:t>I</w:t>
      </w:r>
      <w:r w:rsidR="00CC6AF7" w:rsidRPr="00E94B31">
        <w:t xml:space="preserve">ntervene in this </w:t>
      </w:r>
      <w:r w:rsidR="00CC6AF7">
        <w:t xml:space="preserve">docket. </w:t>
      </w:r>
      <w:r w:rsidR="00CC6AF7" w:rsidRPr="004C0B0B">
        <w:t>PCS Phosphate alleges that</w:t>
      </w:r>
      <w:r w:rsidR="00CC6AF7">
        <w:t xml:space="preserve"> it is a manufacturer of fertilizer products with plants and operations located in DEF’s electric service area and receives service under various DEF rate schedules. PCS Phosphate asserts that it is a large customer of DEF that may be directly and substantially affected by the outcome of this proceeding</w:t>
      </w:r>
      <w:r w:rsidR="00CC6AF7" w:rsidRPr="00E94B31">
        <w:t>.</w:t>
      </w:r>
      <w:r>
        <w:t xml:space="preserve"> </w:t>
      </w:r>
      <w:r w:rsidR="00332075">
        <w:t>PCS Phosphate states in its Petition that it conferred with the Office of Public Counsel and DEF regarding its intervention, and neither of the parties took a position.</w:t>
      </w:r>
      <w:r>
        <w:t xml:space="preserve"> </w:t>
      </w:r>
    </w:p>
    <w:p w14:paraId="38CD2D30" w14:textId="77777777" w:rsidR="009A5CBE" w:rsidRDefault="009A5CBE" w:rsidP="009A5CBE">
      <w:pPr>
        <w:jc w:val="both"/>
      </w:pPr>
    </w:p>
    <w:p w14:paraId="324B5751" w14:textId="77777777" w:rsidR="009A5CBE" w:rsidRPr="00173CF1" w:rsidRDefault="009A5CBE" w:rsidP="009A5CBE">
      <w:pPr>
        <w:jc w:val="both"/>
        <w:rPr>
          <w:u w:val="single"/>
        </w:rPr>
      </w:pPr>
      <w:r w:rsidRPr="00173CF1">
        <w:rPr>
          <w:u w:val="single"/>
        </w:rPr>
        <w:t>Standards for Intervention</w:t>
      </w:r>
    </w:p>
    <w:p w14:paraId="0F617FD7" w14:textId="77777777" w:rsidR="009A5CBE" w:rsidRDefault="009A5CBE" w:rsidP="009A5CBE">
      <w:pPr>
        <w:jc w:val="both"/>
      </w:pPr>
    </w:p>
    <w:p w14:paraId="2A722489" w14:textId="77777777" w:rsidR="00CC6AF7" w:rsidRPr="00E94B31" w:rsidRDefault="00CC6AF7" w:rsidP="00CC6AF7">
      <w:pPr>
        <w:ind w:firstLine="720"/>
        <w:jc w:val="both"/>
      </w:pPr>
      <w:r w:rsidRPr="00E94B31">
        <w:t>Pursuant to Rule 28-106.205, F.A.C., persons, other than the original parties to a pending proceeding, who have a substantial interest in the proceeding, and who desire to become parties ma</w:t>
      </w:r>
      <w:r>
        <w:t xml:space="preserve">y move for leave to intervene. </w:t>
      </w:r>
      <w:r w:rsidRPr="00E94B31">
        <w:t>Motions for leave to intervene must be filed at least twenty (20) days before the final hearing, must comply with Rule 28-106.204(3), F.A.C., and must include allegations sufficient to demonstrate that the intervenor is entitled to participate in the proceeding as a matter of constitutional or statutory right or pursuant to Commission rule, or that the substantial interests of the intervenor are subject to determination or will be affected through the proceeding.  Intervenors take the case as they find it.</w:t>
      </w:r>
    </w:p>
    <w:p w14:paraId="77F075E8" w14:textId="77777777" w:rsidR="00CC6AF7" w:rsidRPr="00E94B31" w:rsidRDefault="00CC6AF7" w:rsidP="00CC6AF7">
      <w:pPr>
        <w:ind w:firstLine="720"/>
        <w:jc w:val="both"/>
      </w:pPr>
    </w:p>
    <w:p w14:paraId="5EE832D3" w14:textId="77777777" w:rsidR="00CC6AF7" w:rsidRPr="00E94B31" w:rsidRDefault="00CC6AF7" w:rsidP="00CC6AF7">
      <w:pPr>
        <w:ind w:firstLine="720"/>
        <w:jc w:val="both"/>
      </w:pPr>
      <w:r w:rsidRPr="00E94B31">
        <w:t xml:space="preserve">To have standing, the intervenor must meet the two-prong standing test set forth in </w:t>
      </w:r>
      <w:r w:rsidRPr="00E94B31">
        <w:rPr>
          <w:u w:val="single"/>
        </w:rPr>
        <w:t>Agrico Chemical Company v. Department of Environmental Regulation</w:t>
      </w:r>
      <w:r w:rsidRPr="00E94B31">
        <w:t>, 406 So. 2</w:t>
      </w:r>
      <w:r>
        <w:t xml:space="preserve">d 478, 482 (Fla. 2d DCA 1981). </w:t>
      </w:r>
      <w:r w:rsidRPr="00E94B31">
        <w:t>The intervenor must show that (1) he will suffer injury in fact that is of sufficient immediacy to entitle him to a Section 120.57, F.S., hearing, and (2) the substantial injury is of a type or nature that the proceeding is designed to protect.  The first aspect of the test de</w:t>
      </w:r>
      <w:r>
        <w:t xml:space="preserve">als with the degree of injury. </w:t>
      </w:r>
      <w:r w:rsidRPr="00E94B31">
        <w:t xml:space="preserve">The second deals </w:t>
      </w:r>
      <w:r>
        <w:t xml:space="preserve">with the nature of the injury. </w:t>
      </w:r>
      <w:r w:rsidRPr="00E94B31">
        <w:t xml:space="preserve">The "injury in fact" must be both real and immediate and not speculative or conjectural. </w:t>
      </w:r>
      <w:r w:rsidRPr="00E94B31">
        <w:rPr>
          <w:u w:val="single"/>
        </w:rPr>
        <w:t xml:space="preserve">International Jai-Alai </w:t>
      </w:r>
      <w:r w:rsidRPr="00E94B31">
        <w:rPr>
          <w:u w:val="single"/>
        </w:rPr>
        <w:lastRenderedPageBreak/>
        <w:t>Players Assn. v. Florida Pari-Mutuel Commission</w:t>
      </w:r>
      <w:r w:rsidRPr="00E94B31">
        <w:t xml:space="preserve">, 561 So. 2d 1224, 1225-26 (Fla. 3d DCA 1990). </w:t>
      </w:r>
      <w:r w:rsidRPr="00E94B31">
        <w:rPr>
          <w:u w:val="single"/>
        </w:rPr>
        <w:t>See also</w:t>
      </w:r>
      <w:r w:rsidRPr="00E94B31">
        <w:t xml:space="preserve"> </w:t>
      </w:r>
      <w:r w:rsidRPr="00E94B31">
        <w:rPr>
          <w:u w:val="single"/>
        </w:rPr>
        <w:t>Village Park Mobile Home Assn., Inc. v. State Dept. of Business Regulation</w:t>
      </w:r>
      <w:r w:rsidRPr="00E94B31">
        <w:t xml:space="preserve">, 506 So. 2d 426, 434 (Fla. 1st DCA 1987), </w:t>
      </w:r>
      <w:r w:rsidRPr="00E94B31">
        <w:rPr>
          <w:u w:val="single"/>
        </w:rPr>
        <w:t>rev. den.</w:t>
      </w:r>
      <w:r w:rsidRPr="00E94B31">
        <w:t>, 513 So. 2d 1063 (Fla. 1987) (speculation on the possible occurrence of injurious events is too remote).</w:t>
      </w:r>
    </w:p>
    <w:p w14:paraId="0CF2B813" w14:textId="77777777" w:rsidR="00CC6AF7" w:rsidRPr="00E94B31" w:rsidRDefault="00CC6AF7" w:rsidP="00CC6AF7">
      <w:pPr>
        <w:ind w:firstLine="720"/>
        <w:jc w:val="both"/>
      </w:pPr>
    </w:p>
    <w:p w14:paraId="568C6833" w14:textId="77777777" w:rsidR="00CC6AF7" w:rsidRDefault="00CC6AF7" w:rsidP="00CC6AF7">
      <w:pPr>
        <w:jc w:val="both"/>
      </w:pPr>
      <w:r>
        <w:rPr>
          <w:u w:val="single"/>
        </w:rPr>
        <w:t>Analysis and Ruling</w:t>
      </w:r>
    </w:p>
    <w:p w14:paraId="63864850" w14:textId="77777777" w:rsidR="00CC6AF7" w:rsidRDefault="00CC6AF7" w:rsidP="00CC6AF7">
      <w:pPr>
        <w:ind w:firstLine="720"/>
        <w:jc w:val="both"/>
      </w:pPr>
    </w:p>
    <w:p w14:paraId="31911276" w14:textId="77777777" w:rsidR="00CC6AF7" w:rsidRPr="00D20607" w:rsidRDefault="00CC6AF7" w:rsidP="00CC6AF7">
      <w:pPr>
        <w:ind w:firstLine="720"/>
        <w:jc w:val="both"/>
      </w:pPr>
      <w:r>
        <w:t xml:space="preserve">The above representations by PCS Phosphate satisfy both prongs of the </w:t>
      </w:r>
      <w:r>
        <w:rPr>
          <w:u w:val="single"/>
        </w:rPr>
        <w:t>Agrico</w:t>
      </w:r>
      <w:r>
        <w:t xml:space="preserve"> test. PCS Phosphate meets the first prong of </w:t>
      </w:r>
      <w:r>
        <w:rPr>
          <w:u w:val="single"/>
        </w:rPr>
        <w:t>Agrico</w:t>
      </w:r>
      <w:r>
        <w:t xml:space="preserve"> in that </w:t>
      </w:r>
      <w:r w:rsidRPr="00443162">
        <w:t>the amount it pays in electric rates may be ultimately affected by this proceeding</w:t>
      </w:r>
      <w:r>
        <w:t xml:space="preserve">. PCS Phosphate meets the second prong of </w:t>
      </w:r>
      <w:r>
        <w:rPr>
          <w:u w:val="single"/>
        </w:rPr>
        <w:t>Agrico</w:t>
      </w:r>
      <w:r>
        <w:t xml:space="preserve"> because </w:t>
      </w:r>
      <w:r w:rsidRPr="00443162">
        <w:t xml:space="preserve">the purpose of this proceeding is to determine whether to establish a new rate class for certain large load customers which may include </w:t>
      </w:r>
      <w:r>
        <w:t xml:space="preserve">PCS Phosphate. Based on the foregoing, PCS Phosphate has made allegations sufficient to satisfy </w:t>
      </w:r>
      <w:r>
        <w:rPr>
          <w:u w:val="single"/>
        </w:rPr>
        <w:t>Agrico</w:t>
      </w:r>
      <w:r>
        <w:t xml:space="preserve"> and its petition to intervene shall be granted subject to proof of standing or stipulations that there are sufficient facts to support all elements for standing. </w:t>
      </w:r>
      <w:r>
        <w:rPr>
          <w:u w:val="single"/>
        </w:rPr>
        <w:t>See</w:t>
      </w:r>
      <w:r>
        <w:t xml:space="preserve"> </w:t>
      </w:r>
      <w:r>
        <w:rPr>
          <w:u w:val="single"/>
        </w:rPr>
        <w:t>Delgado v. Agency for Health Care Admin.</w:t>
      </w:r>
      <w:r>
        <w:t>, 237 So. 3d 432, 437 (Fla. 1st DCA 2018) (proper pretrial stipulations to the facts supporting all elements of standing are binding upon the parties and the court). As an intervenor, PCS Phosphate takes the case as it finds it.</w:t>
      </w:r>
    </w:p>
    <w:p w14:paraId="257DF3D6" w14:textId="77777777" w:rsidR="009A5CBE" w:rsidRDefault="009A5CBE" w:rsidP="009A5CBE">
      <w:pPr>
        <w:ind w:firstLine="720"/>
        <w:jc w:val="both"/>
      </w:pPr>
    </w:p>
    <w:p w14:paraId="6C0030B5" w14:textId="77777777" w:rsidR="009A5CBE" w:rsidRPr="00826D5E" w:rsidRDefault="009A5CBE" w:rsidP="009A5CBE">
      <w:pPr>
        <w:jc w:val="both"/>
      </w:pPr>
      <w:r w:rsidRPr="00826D5E">
        <w:tab/>
      </w:r>
      <w:r>
        <w:t>Based on the above representations,</w:t>
      </w:r>
      <w:r w:rsidRPr="00826D5E">
        <w:t xml:space="preserve"> it is</w:t>
      </w:r>
    </w:p>
    <w:p w14:paraId="5E597308" w14:textId="77777777" w:rsidR="009A5CBE" w:rsidRPr="00826D5E" w:rsidRDefault="009A5CBE" w:rsidP="009A5CBE">
      <w:pPr>
        <w:jc w:val="both"/>
      </w:pPr>
    </w:p>
    <w:p w14:paraId="289EEDAC" w14:textId="63FF10FE" w:rsidR="009A5CBE" w:rsidRDefault="009A5CBE" w:rsidP="009A5CBE">
      <w:pPr>
        <w:ind w:firstLine="720"/>
        <w:jc w:val="both"/>
      </w:pPr>
      <w:r>
        <w:t xml:space="preserve">ORDERED by Commissioner </w:t>
      </w:r>
      <w:r w:rsidR="008C1143">
        <w:t>Gary F. Clark</w:t>
      </w:r>
      <w:r>
        <w:t xml:space="preserve">, as Prehearing Officer, that </w:t>
      </w:r>
      <w:r w:rsidR="008C1143">
        <w:t>White Springs Agricultural Chemicals, Inc. d/b/a PCS Phosphate – White Springs</w:t>
      </w:r>
      <w:r>
        <w:t xml:space="preserve"> is her</w:t>
      </w:r>
      <w:r w:rsidR="000C414C">
        <w:t>eby granted</w:t>
      </w:r>
      <w:r w:rsidR="00954111">
        <w:t xml:space="preserve"> provisional intervention subject to proof of standing at hearing</w:t>
      </w:r>
      <w:r w:rsidR="000C414C">
        <w:t xml:space="preserve"> as set forth in the</w:t>
      </w:r>
      <w:r>
        <w:t xml:space="preserve"> body of this Order. It is further</w:t>
      </w:r>
    </w:p>
    <w:p w14:paraId="7410AB4F" w14:textId="77777777" w:rsidR="009A5CBE" w:rsidRDefault="009A5CBE" w:rsidP="009A5CBE">
      <w:pPr>
        <w:ind w:firstLine="720"/>
        <w:jc w:val="both"/>
      </w:pPr>
    </w:p>
    <w:p w14:paraId="3E88EF02" w14:textId="77777777" w:rsidR="009A5CBE" w:rsidRDefault="009A5CBE" w:rsidP="009A5CBE">
      <w:pPr>
        <w:ind w:firstLine="720"/>
        <w:jc w:val="both"/>
      </w:pPr>
      <w:r>
        <w:t xml:space="preserve">ORDERED that </w:t>
      </w:r>
      <w:r w:rsidR="008C1143">
        <w:t>White Springs Agricultural Chemicals, Inc. d/b/a PCS Phosphate – White Springs</w:t>
      </w:r>
      <w:r>
        <w:t xml:space="preserve"> takes the case as it finds it. It is further </w:t>
      </w:r>
    </w:p>
    <w:p w14:paraId="2645FC91" w14:textId="77777777" w:rsidR="009A5CBE" w:rsidRDefault="009A5CBE" w:rsidP="009A5CBE">
      <w:pPr>
        <w:ind w:firstLine="720"/>
        <w:jc w:val="both"/>
      </w:pPr>
    </w:p>
    <w:p w14:paraId="65F6FC2C" w14:textId="77777777" w:rsidR="009A5CBE" w:rsidRDefault="009A5CBE" w:rsidP="009A5CBE">
      <w:pPr>
        <w:ind w:firstLine="720"/>
        <w:jc w:val="both"/>
      </w:pPr>
      <w:r>
        <w:t>ORDERED that all parties to this proceeding shall furnish copies of all testimony, exhibits, pleadings, and other documents which may hereinafter be filed in this proceeding to:</w:t>
      </w:r>
    </w:p>
    <w:p w14:paraId="4F351859" w14:textId="77777777" w:rsidR="009A5CBE" w:rsidRDefault="009A5CBE" w:rsidP="009A5CBE">
      <w:pPr>
        <w:ind w:firstLine="720"/>
        <w:jc w:val="both"/>
      </w:pPr>
    </w:p>
    <w:p w14:paraId="42F3EB8B" w14:textId="77777777" w:rsidR="009A5CBE" w:rsidRDefault="008C1143" w:rsidP="009A5CBE">
      <w:pPr>
        <w:ind w:firstLine="720"/>
        <w:jc w:val="both"/>
      </w:pPr>
      <w:r>
        <w:t>James W. Brew</w:t>
      </w:r>
    </w:p>
    <w:p w14:paraId="22A00BD7" w14:textId="77777777" w:rsidR="008C1143" w:rsidRDefault="008C1143" w:rsidP="009A5CBE">
      <w:pPr>
        <w:ind w:firstLine="720"/>
        <w:jc w:val="both"/>
      </w:pPr>
      <w:r>
        <w:t>Laura Wynn Baker</w:t>
      </w:r>
    </w:p>
    <w:p w14:paraId="70F2F07F" w14:textId="77777777" w:rsidR="008C1143" w:rsidRDefault="008C1143" w:rsidP="009A5CBE">
      <w:pPr>
        <w:ind w:firstLine="720"/>
        <w:jc w:val="both"/>
      </w:pPr>
      <w:r>
        <w:t>Sarah B. Newman</w:t>
      </w:r>
    </w:p>
    <w:p w14:paraId="33013D96" w14:textId="77777777" w:rsidR="008C1143" w:rsidRDefault="008C1143" w:rsidP="009A5CBE">
      <w:pPr>
        <w:ind w:firstLine="720"/>
        <w:jc w:val="both"/>
      </w:pPr>
      <w:r>
        <w:t>Stone Mattheis Xenopoulos &amp; Brew, PC</w:t>
      </w:r>
    </w:p>
    <w:p w14:paraId="51A46A4C" w14:textId="77777777" w:rsidR="008C1143" w:rsidRDefault="008C1143" w:rsidP="009A5CBE">
      <w:pPr>
        <w:ind w:firstLine="720"/>
        <w:jc w:val="both"/>
      </w:pPr>
      <w:r>
        <w:t>1025 Thomas Jefferson Street, NW</w:t>
      </w:r>
    </w:p>
    <w:p w14:paraId="2B8ED867" w14:textId="77777777" w:rsidR="008C1143" w:rsidRDefault="008C1143" w:rsidP="009A5CBE">
      <w:pPr>
        <w:ind w:firstLine="720"/>
        <w:jc w:val="both"/>
      </w:pPr>
      <w:r>
        <w:t xml:space="preserve">Suite </w:t>
      </w:r>
      <w:r w:rsidR="0051152D">
        <w:t>E</w:t>
      </w:r>
      <w:r>
        <w:t>-3400</w:t>
      </w:r>
    </w:p>
    <w:p w14:paraId="2210A563" w14:textId="77777777" w:rsidR="008C1143" w:rsidRDefault="008C1143" w:rsidP="009A5CBE">
      <w:pPr>
        <w:ind w:firstLine="720"/>
        <w:jc w:val="both"/>
      </w:pPr>
      <w:r>
        <w:t>Washington, DC 20007-5201</w:t>
      </w:r>
    </w:p>
    <w:p w14:paraId="73A582C1" w14:textId="77777777" w:rsidR="008C1143" w:rsidRDefault="008C1143" w:rsidP="009A5CBE">
      <w:pPr>
        <w:ind w:firstLine="720"/>
        <w:jc w:val="both"/>
      </w:pPr>
      <w:r>
        <w:t>(202) 342-0800</w:t>
      </w:r>
    </w:p>
    <w:p w14:paraId="2F96245E" w14:textId="77777777" w:rsidR="008C1143" w:rsidRDefault="00DF3F18" w:rsidP="009A5CBE">
      <w:pPr>
        <w:ind w:firstLine="720"/>
        <w:jc w:val="both"/>
      </w:pPr>
      <w:hyperlink r:id="rId8" w:history="1">
        <w:r w:rsidR="008C1143" w:rsidRPr="0040239E">
          <w:rPr>
            <w:rStyle w:val="Hyperlink"/>
          </w:rPr>
          <w:t>jbrew@smxblaw.com</w:t>
        </w:r>
      </w:hyperlink>
    </w:p>
    <w:p w14:paraId="2DFE0689" w14:textId="77777777" w:rsidR="008C1143" w:rsidRDefault="00DF3F18" w:rsidP="009A5CBE">
      <w:pPr>
        <w:ind w:firstLine="720"/>
        <w:jc w:val="both"/>
      </w:pPr>
      <w:hyperlink r:id="rId9" w:history="1">
        <w:r w:rsidR="008C1143" w:rsidRPr="0040239E">
          <w:rPr>
            <w:rStyle w:val="Hyperlink"/>
          </w:rPr>
          <w:t>lwb@smxblaw.com</w:t>
        </w:r>
      </w:hyperlink>
    </w:p>
    <w:p w14:paraId="054D8E30" w14:textId="77777777" w:rsidR="008C1143" w:rsidRDefault="00DF3F18" w:rsidP="009A5CBE">
      <w:pPr>
        <w:ind w:firstLine="720"/>
        <w:jc w:val="both"/>
      </w:pPr>
      <w:hyperlink r:id="rId10" w:history="1">
        <w:r w:rsidR="008C1143" w:rsidRPr="0040239E">
          <w:rPr>
            <w:rStyle w:val="Hyperlink"/>
          </w:rPr>
          <w:t>sbn@smxblaw.com</w:t>
        </w:r>
      </w:hyperlink>
      <w:r w:rsidR="008C1143">
        <w:t xml:space="preserve"> </w:t>
      </w:r>
    </w:p>
    <w:p w14:paraId="0B5487CE" w14:textId="77777777" w:rsidR="008C1143" w:rsidRDefault="008C1143" w:rsidP="009A5CBE">
      <w:pPr>
        <w:ind w:firstLine="720"/>
        <w:jc w:val="both"/>
      </w:pPr>
    </w:p>
    <w:p w14:paraId="44EA9E70" w14:textId="77777777" w:rsidR="008C1143" w:rsidRDefault="008C1143" w:rsidP="009A5CBE">
      <w:pPr>
        <w:ind w:firstLine="720"/>
        <w:jc w:val="both"/>
      </w:pPr>
    </w:p>
    <w:p w14:paraId="0CFE550D" w14:textId="3414EEDA" w:rsidR="008C1143" w:rsidRDefault="008C1143" w:rsidP="008C1143">
      <w:pPr>
        <w:keepNext/>
        <w:keepLines/>
        <w:jc w:val="both"/>
      </w:pPr>
      <w:r>
        <w:lastRenderedPageBreak/>
        <w:tab/>
        <w:t xml:space="preserve">By ORDER of Commissioner Gary F. Clark, as Prehearing Officer, this </w:t>
      </w:r>
      <w:bookmarkStart w:id="6" w:name="replaceDate"/>
      <w:bookmarkEnd w:id="6"/>
      <w:r w:rsidR="00D6576D">
        <w:rPr>
          <w:u w:val="single"/>
        </w:rPr>
        <w:t>23rd</w:t>
      </w:r>
      <w:r w:rsidR="00D6576D">
        <w:t xml:space="preserve"> day of </w:t>
      </w:r>
      <w:r w:rsidR="00D6576D">
        <w:rPr>
          <w:u w:val="single"/>
        </w:rPr>
        <w:t>June</w:t>
      </w:r>
      <w:r w:rsidR="00D6576D">
        <w:t xml:space="preserve">, </w:t>
      </w:r>
      <w:r w:rsidR="00D6576D">
        <w:rPr>
          <w:u w:val="single"/>
        </w:rPr>
        <w:t>2026</w:t>
      </w:r>
      <w:r w:rsidR="00D6576D">
        <w:t>.</w:t>
      </w:r>
    </w:p>
    <w:p w14:paraId="258EA48C" w14:textId="77777777" w:rsidR="00D6576D" w:rsidRPr="00D6576D" w:rsidRDefault="00D6576D" w:rsidP="008C1143">
      <w:pPr>
        <w:keepNext/>
        <w:keepLines/>
        <w:jc w:val="both"/>
      </w:pPr>
    </w:p>
    <w:p w14:paraId="14118135" w14:textId="77777777" w:rsidR="008C1143" w:rsidRDefault="008C1143" w:rsidP="008C1143">
      <w:pPr>
        <w:keepNext/>
        <w:keepLines/>
        <w:jc w:val="both"/>
      </w:pPr>
    </w:p>
    <w:p w14:paraId="7E968B8B" w14:textId="77777777" w:rsidR="008C1143" w:rsidRDefault="008C1143" w:rsidP="008C1143">
      <w:pPr>
        <w:keepNext/>
        <w:keepLines/>
        <w:jc w:val="both"/>
      </w:pPr>
    </w:p>
    <w:p w14:paraId="707443A9" w14:textId="77777777" w:rsidR="008C1143" w:rsidRDefault="008C1143" w:rsidP="008C1143">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8C1143" w14:paraId="76DDF476" w14:textId="77777777" w:rsidTr="008C1143">
        <w:tc>
          <w:tcPr>
            <w:tcW w:w="720" w:type="dxa"/>
            <w:shd w:val="clear" w:color="auto" w:fill="auto"/>
          </w:tcPr>
          <w:p w14:paraId="3754A773" w14:textId="77777777" w:rsidR="008C1143" w:rsidRDefault="008C1143" w:rsidP="008C1143">
            <w:pPr>
              <w:keepNext/>
              <w:keepLines/>
              <w:jc w:val="both"/>
            </w:pPr>
            <w:bookmarkStart w:id="7" w:name="bkmrkSignature" w:colFirst="0" w:colLast="0"/>
          </w:p>
        </w:tc>
        <w:tc>
          <w:tcPr>
            <w:tcW w:w="4320" w:type="dxa"/>
            <w:tcBorders>
              <w:bottom w:val="single" w:sz="4" w:space="0" w:color="auto"/>
            </w:tcBorders>
            <w:shd w:val="clear" w:color="auto" w:fill="auto"/>
          </w:tcPr>
          <w:p w14:paraId="45A8C6C3" w14:textId="5B548C45" w:rsidR="008C1143" w:rsidRDefault="00DF3F18" w:rsidP="008C1143">
            <w:pPr>
              <w:keepNext/>
              <w:keepLines/>
              <w:jc w:val="both"/>
            </w:pPr>
            <w:r>
              <w:t>/s/ Gary F. Clark</w:t>
            </w:r>
          </w:p>
        </w:tc>
      </w:tr>
      <w:bookmarkEnd w:id="7"/>
      <w:tr w:rsidR="008C1143" w14:paraId="7076277F" w14:textId="77777777" w:rsidTr="008C1143">
        <w:tc>
          <w:tcPr>
            <w:tcW w:w="720" w:type="dxa"/>
            <w:shd w:val="clear" w:color="auto" w:fill="auto"/>
          </w:tcPr>
          <w:p w14:paraId="3BF859F7" w14:textId="77777777" w:rsidR="008C1143" w:rsidRDefault="008C1143" w:rsidP="008C1143">
            <w:pPr>
              <w:keepNext/>
              <w:keepLines/>
              <w:jc w:val="both"/>
            </w:pPr>
          </w:p>
        </w:tc>
        <w:tc>
          <w:tcPr>
            <w:tcW w:w="4320" w:type="dxa"/>
            <w:tcBorders>
              <w:top w:val="single" w:sz="4" w:space="0" w:color="auto"/>
            </w:tcBorders>
            <w:shd w:val="clear" w:color="auto" w:fill="auto"/>
          </w:tcPr>
          <w:p w14:paraId="41A01F63" w14:textId="77777777" w:rsidR="008C1143" w:rsidRDefault="008C1143" w:rsidP="008C1143">
            <w:pPr>
              <w:keepNext/>
              <w:keepLines/>
              <w:jc w:val="both"/>
            </w:pPr>
            <w:r>
              <w:t>GARY F. CLARK</w:t>
            </w:r>
          </w:p>
          <w:p w14:paraId="36E0FDD2" w14:textId="77777777" w:rsidR="008C1143" w:rsidRDefault="008C1143" w:rsidP="008C1143">
            <w:pPr>
              <w:keepNext/>
              <w:keepLines/>
              <w:jc w:val="both"/>
            </w:pPr>
            <w:r>
              <w:t>Commissioner and Prehearing Officer</w:t>
            </w:r>
          </w:p>
        </w:tc>
      </w:tr>
    </w:tbl>
    <w:p w14:paraId="7FD6148A" w14:textId="77777777" w:rsidR="008C1143" w:rsidRDefault="008C1143" w:rsidP="008C1143">
      <w:pPr>
        <w:pStyle w:val="OrderSigInfo"/>
        <w:keepNext/>
        <w:keepLines/>
      </w:pPr>
      <w:r>
        <w:t>Florida Public Service Commission</w:t>
      </w:r>
    </w:p>
    <w:p w14:paraId="52DEF76E" w14:textId="77777777" w:rsidR="008C1143" w:rsidRDefault="008C1143" w:rsidP="008C1143">
      <w:pPr>
        <w:pStyle w:val="OrderSigInfo"/>
        <w:keepNext/>
        <w:keepLines/>
      </w:pPr>
      <w:r>
        <w:t>2540 Shumard Oak Boulevard</w:t>
      </w:r>
    </w:p>
    <w:p w14:paraId="4EC71632" w14:textId="77777777" w:rsidR="008C1143" w:rsidRDefault="008C1143" w:rsidP="008C1143">
      <w:pPr>
        <w:pStyle w:val="OrderSigInfo"/>
        <w:keepNext/>
        <w:keepLines/>
      </w:pPr>
      <w:r>
        <w:t>Tallahassee, Florida 32399</w:t>
      </w:r>
    </w:p>
    <w:p w14:paraId="46AB50D5" w14:textId="77777777" w:rsidR="008C1143" w:rsidRDefault="008C1143" w:rsidP="008C1143">
      <w:pPr>
        <w:pStyle w:val="OrderSigInfo"/>
        <w:keepNext/>
        <w:keepLines/>
      </w:pPr>
      <w:r>
        <w:t>(850) 413</w:t>
      </w:r>
      <w:r>
        <w:noBreakHyphen/>
        <w:t>6770</w:t>
      </w:r>
    </w:p>
    <w:p w14:paraId="3548DEF6" w14:textId="77777777" w:rsidR="008C1143" w:rsidRDefault="008C1143" w:rsidP="008C1143">
      <w:pPr>
        <w:pStyle w:val="OrderSigInfo"/>
        <w:keepNext/>
        <w:keepLines/>
      </w:pPr>
      <w:r>
        <w:t>www.floridapsc.com</w:t>
      </w:r>
    </w:p>
    <w:p w14:paraId="479E4634" w14:textId="77777777" w:rsidR="008C1143" w:rsidRDefault="008C1143" w:rsidP="008C1143">
      <w:pPr>
        <w:pStyle w:val="OrderSigInfo"/>
        <w:keepNext/>
        <w:keepLines/>
      </w:pPr>
    </w:p>
    <w:p w14:paraId="1DF813A2" w14:textId="77777777" w:rsidR="008C1143" w:rsidRDefault="008C1143" w:rsidP="008C1143">
      <w:pPr>
        <w:pStyle w:val="OrderSigInfo"/>
        <w:keepNext/>
        <w:keepLines/>
      </w:pPr>
      <w:r>
        <w:t>Copies furnished:  A copy of this document is provided to the parties of record at the time of issuance and, if applicable, interested persons.</w:t>
      </w:r>
    </w:p>
    <w:p w14:paraId="5115E00E" w14:textId="77777777" w:rsidR="008C1143" w:rsidRDefault="008C1143" w:rsidP="008C1143">
      <w:pPr>
        <w:pStyle w:val="OrderBody"/>
        <w:keepNext/>
        <w:keepLines/>
      </w:pPr>
    </w:p>
    <w:p w14:paraId="4F414763" w14:textId="77777777" w:rsidR="008C1143" w:rsidRDefault="008C1143" w:rsidP="008C1143">
      <w:pPr>
        <w:keepNext/>
        <w:keepLines/>
        <w:jc w:val="both"/>
      </w:pPr>
    </w:p>
    <w:p w14:paraId="165C73B0" w14:textId="77777777" w:rsidR="008C1143" w:rsidRDefault="000C414C" w:rsidP="008C1143">
      <w:pPr>
        <w:keepNext/>
        <w:keepLines/>
        <w:jc w:val="both"/>
      </w:pPr>
      <w:r>
        <w:t>SF</w:t>
      </w:r>
    </w:p>
    <w:p w14:paraId="73CEEECA" w14:textId="77777777" w:rsidR="008C1143" w:rsidRDefault="008C1143" w:rsidP="008C1143">
      <w:pPr>
        <w:jc w:val="both"/>
      </w:pPr>
    </w:p>
    <w:p w14:paraId="64ABC300" w14:textId="77777777" w:rsidR="008C1143" w:rsidRDefault="008C1143" w:rsidP="008C1143">
      <w:pPr>
        <w:jc w:val="both"/>
      </w:pPr>
    </w:p>
    <w:p w14:paraId="0F584584" w14:textId="77777777" w:rsidR="009A5CBE" w:rsidRDefault="009A5CBE" w:rsidP="009A5CBE">
      <w:pPr>
        <w:pStyle w:val="CenterUnderline"/>
      </w:pPr>
      <w:r>
        <w:t>NOTICE OF FURTHER PROCEEDINGS OR JUDICIAL REVIEW</w:t>
      </w:r>
    </w:p>
    <w:p w14:paraId="486F9B31" w14:textId="77777777" w:rsidR="009A5CBE" w:rsidRDefault="009A5CBE" w:rsidP="009A5CBE">
      <w:pPr>
        <w:pStyle w:val="CenterUnderline"/>
      </w:pPr>
    </w:p>
    <w:p w14:paraId="7CA17027" w14:textId="77777777" w:rsidR="009A5CBE" w:rsidRDefault="009A5CBE" w:rsidP="009A5CBE">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585881B3" w14:textId="77777777" w:rsidR="009A5CBE" w:rsidRDefault="009A5CBE" w:rsidP="009A5CBE">
      <w:pPr>
        <w:pStyle w:val="OrderBody"/>
      </w:pPr>
    </w:p>
    <w:p w14:paraId="5674A1D8" w14:textId="77777777" w:rsidR="009A5CBE" w:rsidRDefault="009A5CBE" w:rsidP="009A5CBE">
      <w:pPr>
        <w:pStyle w:val="OrderBody"/>
      </w:pPr>
      <w:r>
        <w:tab/>
        <w:t>Mediation may be available on a case-by-case basis.  If mediation is conducted, it does not affect a substantially interested person's right to a hearing.</w:t>
      </w:r>
    </w:p>
    <w:p w14:paraId="5371B1EF" w14:textId="77777777" w:rsidR="009A5CBE" w:rsidRDefault="009A5CBE" w:rsidP="009A5CBE">
      <w:pPr>
        <w:pStyle w:val="OrderBody"/>
      </w:pPr>
    </w:p>
    <w:p w14:paraId="4BC40F31" w14:textId="77777777" w:rsidR="00CB5276" w:rsidRDefault="009A5CBE" w:rsidP="009A5CBE">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3B879DD2" w14:textId="77777777" w:rsidR="00513EC1" w:rsidRDefault="00513EC1">
      <w:pPr>
        <w:pStyle w:val="OrderBody"/>
      </w:pPr>
    </w:p>
    <w:sectPr w:rsidR="00513EC1">
      <w:head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5697E" w14:textId="77777777" w:rsidR="009A5CBE" w:rsidRDefault="009A5CBE">
      <w:r>
        <w:separator/>
      </w:r>
    </w:p>
  </w:endnote>
  <w:endnote w:type="continuationSeparator" w:id="0">
    <w:p w14:paraId="0048E330" w14:textId="77777777" w:rsidR="009A5CBE" w:rsidRDefault="009A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60858" w14:textId="77777777" w:rsidR="009A5CBE" w:rsidRDefault="009A5CBE">
      <w:r>
        <w:separator/>
      </w:r>
    </w:p>
  </w:footnote>
  <w:footnote w:type="continuationSeparator" w:id="0">
    <w:p w14:paraId="7F4CD2DA" w14:textId="77777777" w:rsidR="009A5CBE" w:rsidRDefault="009A5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E63E" w14:textId="1FB25E68" w:rsidR="00FA6EFD" w:rsidRDefault="00FA6EFD">
    <w:pPr>
      <w:pStyle w:val="OrderHeader"/>
    </w:pPr>
    <w:r>
      <w:t xml:space="preserve">ORDER NO. </w:t>
    </w:r>
    <w:r w:rsidR="00D6576D">
      <w:fldChar w:fldCharType="begin"/>
    </w:r>
    <w:r w:rsidR="00D6576D">
      <w:instrText xml:space="preserve"> REF OrderNo0234 </w:instrText>
    </w:r>
    <w:r w:rsidR="00D6576D">
      <w:fldChar w:fldCharType="separate"/>
    </w:r>
    <w:r w:rsidR="00DF3F18">
      <w:t>PSC-2026-0234-PCO-EI</w:t>
    </w:r>
    <w:r w:rsidR="00D6576D">
      <w:fldChar w:fldCharType="end"/>
    </w:r>
  </w:p>
  <w:p w14:paraId="3312C35D" w14:textId="77777777" w:rsidR="00FA6EFD" w:rsidRDefault="009A5CBE">
    <w:pPr>
      <w:pStyle w:val="OrderHeader"/>
    </w:pPr>
    <w:bookmarkStart w:id="8" w:name="HeaderDocketNo"/>
    <w:bookmarkEnd w:id="8"/>
    <w:r>
      <w:t>DOCKET NO. 20260064-EI</w:t>
    </w:r>
  </w:p>
  <w:p w14:paraId="71DD9216" w14:textId="6E03D074"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16E4F">
      <w:rPr>
        <w:rStyle w:val="PageNumber"/>
        <w:noProof/>
      </w:rPr>
      <w:t>2</w:t>
    </w:r>
    <w:r>
      <w:rPr>
        <w:rStyle w:val="PageNumber"/>
      </w:rPr>
      <w:fldChar w:fldCharType="end"/>
    </w:r>
  </w:p>
  <w:p w14:paraId="5C3A44E2"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B579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1254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4-EI"/>
  </w:docVars>
  <w:rsids>
    <w:rsidRoot w:val="009A5CBE"/>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57BA9"/>
    <w:rsid w:val="00065FC2"/>
    <w:rsid w:val="00066009"/>
    <w:rsid w:val="00067685"/>
    <w:rsid w:val="00067B07"/>
    <w:rsid w:val="00067FEC"/>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414C"/>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07928"/>
    <w:rsid w:val="002101DA"/>
    <w:rsid w:val="002170E5"/>
    <w:rsid w:val="002179AC"/>
    <w:rsid w:val="00220D57"/>
    <w:rsid w:val="00223B99"/>
    <w:rsid w:val="0022721A"/>
    <w:rsid w:val="00230BB9"/>
    <w:rsid w:val="00233830"/>
    <w:rsid w:val="00236E4C"/>
    <w:rsid w:val="00241CEF"/>
    <w:rsid w:val="0024275D"/>
    <w:rsid w:val="00244000"/>
    <w:rsid w:val="00246C0D"/>
    <w:rsid w:val="0025124E"/>
    <w:rsid w:val="00252B30"/>
    <w:rsid w:val="00255291"/>
    <w:rsid w:val="00257FD3"/>
    <w:rsid w:val="002613E4"/>
    <w:rsid w:val="00262C43"/>
    <w:rsid w:val="0026544B"/>
    <w:rsid w:val="00270E68"/>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075"/>
    <w:rsid w:val="00332B0A"/>
    <w:rsid w:val="00333A41"/>
    <w:rsid w:val="00341036"/>
    <w:rsid w:val="00345434"/>
    <w:rsid w:val="00351C22"/>
    <w:rsid w:val="0035495B"/>
    <w:rsid w:val="00355A93"/>
    <w:rsid w:val="00360F30"/>
    <w:rsid w:val="00361522"/>
    <w:rsid w:val="0036362B"/>
    <w:rsid w:val="0037196E"/>
    <w:rsid w:val="0037442E"/>
    <w:rsid w:val="003744F5"/>
    <w:rsid w:val="00376D1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2400"/>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52D"/>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5E5"/>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4617"/>
    <w:rsid w:val="00615F9B"/>
    <w:rsid w:val="006169B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16E4F"/>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1143"/>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4111"/>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5CBE"/>
    <w:rsid w:val="009A6B17"/>
    <w:rsid w:val="009A7E5C"/>
    <w:rsid w:val="009B052E"/>
    <w:rsid w:val="009B0AE4"/>
    <w:rsid w:val="009B253D"/>
    <w:rsid w:val="009B324E"/>
    <w:rsid w:val="009B4E00"/>
    <w:rsid w:val="009B4FCF"/>
    <w:rsid w:val="009C4300"/>
    <w:rsid w:val="009D4C29"/>
    <w:rsid w:val="009E58E9"/>
    <w:rsid w:val="009E6803"/>
    <w:rsid w:val="009F6AD2"/>
    <w:rsid w:val="009F7C1B"/>
    <w:rsid w:val="00A00B5B"/>
    <w:rsid w:val="00A00D8D"/>
    <w:rsid w:val="00A01BB6"/>
    <w:rsid w:val="00A04BA9"/>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7129"/>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5CA1"/>
    <w:rsid w:val="00CC6AF7"/>
    <w:rsid w:val="00CC7E68"/>
    <w:rsid w:val="00CD0F05"/>
    <w:rsid w:val="00CD15D5"/>
    <w:rsid w:val="00CD19D5"/>
    <w:rsid w:val="00CD298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4E97"/>
    <w:rsid w:val="00D350D1"/>
    <w:rsid w:val="00D46FAA"/>
    <w:rsid w:val="00D47A40"/>
    <w:rsid w:val="00D51D33"/>
    <w:rsid w:val="00D57132"/>
    <w:rsid w:val="00D57BB2"/>
    <w:rsid w:val="00D57E57"/>
    <w:rsid w:val="00D611DF"/>
    <w:rsid w:val="00D65405"/>
    <w:rsid w:val="00D6576D"/>
    <w:rsid w:val="00D70752"/>
    <w:rsid w:val="00D722A9"/>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3F18"/>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517F"/>
    <w:rsid w:val="00F6702E"/>
    <w:rsid w:val="00F70E84"/>
    <w:rsid w:val="00F778A2"/>
    <w:rsid w:val="00F80685"/>
    <w:rsid w:val="00F94968"/>
    <w:rsid w:val="00F96FD2"/>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C0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numbering" w:styleId="1ai">
    <w:name w:val="Outline List 1"/>
    <w:basedOn w:val="NoList"/>
    <w:rsid w:val="009A5CBE"/>
    <w:pPr>
      <w:numPr>
        <w:numId w:val="1"/>
      </w:numPr>
    </w:pPr>
  </w:style>
  <w:style w:type="character" w:styleId="Hyperlink">
    <w:name w:val="Hyperlink"/>
    <w:basedOn w:val="DefaultParagraphFont"/>
    <w:unhideWhenUsed/>
    <w:rsid w:val="008C1143"/>
    <w:rPr>
      <w:color w:val="0000FF" w:themeColor="hyperlink"/>
      <w:u w:val="single"/>
    </w:rPr>
  </w:style>
  <w:style w:type="paragraph" w:styleId="BalloonText">
    <w:name w:val="Balloon Text"/>
    <w:basedOn w:val="Normal"/>
    <w:link w:val="BalloonTextChar"/>
    <w:semiHidden/>
    <w:unhideWhenUsed/>
    <w:rsid w:val="00614617"/>
    <w:rPr>
      <w:rFonts w:ascii="Segoe UI" w:hAnsi="Segoe UI" w:cs="Segoe UI"/>
      <w:sz w:val="18"/>
      <w:szCs w:val="18"/>
    </w:rPr>
  </w:style>
  <w:style w:type="character" w:customStyle="1" w:styleId="BalloonTextChar">
    <w:name w:val="Balloon Text Char"/>
    <w:basedOn w:val="DefaultParagraphFont"/>
    <w:link w:val="BalloonText"/>
    <w:semiHidden/>
    <w:rsid w:val="00614617"/>
    <w:rPr>
      <w:rFonts w:ascii="Segoe UI" w:hAnsi="Segoe UI" w:cs="Segoe UI"/>
      <w:sz w:val="18"/>
      <w:szCs w:val="18"/>
    </w:rPr>
  </w:style>
  <w:style w:type="character" w:styleId="CommentReference">
    <w:name w:val="annotation reference"/>
    <w:basedOn w:val="DefaultParagraphFont"/>
    <w:semiHidden/>
    <w:unhideWhenUsed/>
    <w:rsid w:val="00246C0D"/>
    <w:rPr>
      <w:sz w:val="16"/>
      <w:szCs w:val="16"/>
    </w:rPr>
  </w:style>
  <w:style w:type="paragraph" w:styleId="CommentText">
    <w:name w:val="annotation text"/>
    <w:basedOn w:val="Normal"/>
    <w:link w:val="CommentTextChar"/>
    <w:unhideWhenUsed/>
    <w:rsid w:val="00246C0D"/>
    <w:rPr>
      <w:sz w:val="20"/>
      <w:szCs w:val="20"/>
    </w:rPr>
  </w:style>
  <w:style w:type="character" w:customStyle="1" w:styleId="CommentTextChar">
    <w:name w:val="Comment Text Char"/>
    <w:basedOn w:val="DefaultParagraphFont"/>
    <w:link w:val="CommentText"/>
    <w:rsid w:val="00246C0D"/>
  </w:style>
  <w:style w:type="paragraph" w:styleId="CommentSubject">
    <w:name w:val="annotation subject"/>
    <w:basedOn w:val="CommentText"/>
    <w:next w:val="CommentText"/>
    <w:link w:val="CommentSubjectChar"/>
    <w:semiHidden/>
    <w:unhideWhenUsed/>
    <w:rsid w:val="00246C0D"/>
    <w:rPr>
      <w:b/>
      <w:bCs/>
    </w:rPr>
  </w:style>
  <w:style w:type="character" w:customStyle="1" w:styleId="CommentSubjectChar">
    <w:name w:val="Comment Subject Char"/>
    <w:basedOn w:val="CommentTextChar"/>
    <w:link w:val="CommentSubject"/>
    <w:semiHidden/>
    <w:rsid w:val="00246C0D"/>
    <w:rPr>
      <w:b/>
      <w:bCs/>
    </w:rPr>
  </w:style>
  <w:style w:type="paragraph" w:styleId="Revision">
    <w:name w:val="Revision"/>
    <w:hidden/>
    <w:uiPriority w:val="99"/>
    <w:semiHidden/>
    <w:rsid w:val="009541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rew@smxblaw.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bn@smxblaw.com" TargetMode="External"/><Relationship Id="rId4" Type="http://schemas.openxmlformats.org/officeDocument/2006/relationships/settings" Target="settings.xml"/><Relationship Id="rId9" Type="http://schemas.openxmlformats.org/officeDocument/2006/relationships/hyperlink" Target="mailto:lwb@smxblaw.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6D07F-19E5-423B-9F7A-6FAA23B48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1070</Words>
  <Characters>6100</Characters>
  <Application>Microsoft Office Word</Application>
  <DocSecurity>0</DocSecurity>
  <Lines>50</Lines>
  <Paragraphs>14</Paragraphs>
  <ScaleCrop>false</ScaleCrop>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2026-06-22T19:31:00Z</dcterms:created>
  <dcterms:modified xsi:type="dcterms:W3CDTF">2026-06-23T12:20:00Z</dcterms:modified>
</cp:coreProperties>
</file>