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0C83B7A5"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1E88CA6C" w14:textId="77777777" w:rsidR="007C0528" w:rsidRDefault="007C0528" w:rsidP="00532DFB">
            <w:pPr>
              <w:pStyle w:val="MastHeadState"/>
            </w:pPr>
            <w:r>
              <w:t>State of Florida</w:t>
            </w:r>
          </w:p>
          <w:p w14:paraId="00CA49A9" w14:textId="77777777" w:rsidR="007C0528" w:rsidRDefault="00072CCA">
            <w:pPr>
              <w:jc w:val="center"/>
            </w:pPr>
            <w:r>
              <w:rPr>
                <w:noProof/>
              </w:rPr>
              <w:drawing>
                <wp:inline distT="0" distB="0" distL="0" distR="0" wp14:anchorId="7A3BE0AF" wp14:editId="66279C06">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6B788340"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09502A90" w14:textId="77777777" w:rsidR="007C0528" w:rsidRDefault="007C0528">
            <w:pPr>
              <w:pStyle w:val="MastHeadPSC"/>
            </w:pPr>
            <w:r>
              <w:t>Public Service Commission</w:t>
            </w:r>
          </w:p>
          <w:p w14:paraId="637D7C26" w14:textId="77777777" w:rsidR="007C0528" w:rsidRDefault="007C0528">
            <w:pPr>
              <w:pStyle w:val="MastHeadAddress"/>
            </w:pPr>
            <w:r>
              <w:t>Capital Circle Office Center ● 2540 Shumard Oak Boulevard</w:t>
            </w:r>
            <w:r>
              <w:br/>
              <w:t>Tallahassee, Florida 32399-0850</w:t>
            </w:r>
          </w:p>
          <w:p w14:paraId="6010B397" w14:textId="77777777" w:rsidR="007C0528" w:rsidRDefault="007C0528">
            <w:pPr>
              <w:pStyle w:val="MastHeadMemorandum"/>
            </w:pPr>
            <w:r>
              <w:t>-M-E-M-O-R-A-N-D-U-M-</w:t>
            </w:r>
          </w:p>
          <w:p w14:paraId="7BC6965F" w14:textId="77777777" w:rsidR="007C0528" w:rsidRDefault="007C0528">
            <w:pPr>
              <w:pStyle w:val="MemoHeading"/>
            </w:pPr>
          </w:p>
        </w:tc>
      </w:tr>
      <w:tr w:rsidR="007C0528" w14:paraId="4CC7D4A4"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3428F59B"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22630BC9" w14:textId="5EBB4593" w:rsidR="007C0528" w:rsidRDefault="00987868">
            <w:pPr>
              <w:pStyle w:val="MemoHeading"/>
            </w:pPr>
            <w:bookmarkStart w:id="0" w:name="FilingDate"/>
            <w:r>
              <w:t>June 24, 2026</w:t>
            </w:r>
            <w:bookmarkEnd w:id="0"/>
          </w:p>
        </w:tc>
      </w:tr>
      <w:tr w:rsidR="007C0528" w14:paraId="1BF1B399" w14:textId="77777777">
        <w:tc>
          <w:tcPr>
            <w:tcW w:w="1254" w:type="dxa"/>
            <w:tcBorders>
              <w:top w:val="nil"/>
              <w:left w:val="nil"/>
              <w:bottom w:val="nil"/>
              <w:right w:val="nil"/>
            </w:tcBorders>
            <w:shd w:val="clear" w:color="auto" w:fill="auto"/>
            <w:tcMar>
              <w:top w:w="288" w:type="dxa"/>
              <w:bottom w:w="0" w:type="dxa"/>
              <w:right w:w="0" w:type="dxa"/>
            </w:tcMar>
          </w:tcPr>
          <w:p w14:paraId="29358161"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04B12C00" w14:textId="77777777" w:rsidR="007C0528" w:rsidRDefault="007C0528" w:rsidP="0093658B">
            <w:pPr>
              <w:pStyle w:val="MemoHeading"/>
            </w:pPr>
            <w:r>
              <w:t>Office of Commission Clerk (</w:t>
            </w:r>
            <w:r w:rsidR="004E69B5">
              <w:t>Teitzman</w:t>
            </w:r>
            <w:r>
              <w:t>)</w:t>
            </w:r>
          </w:p>
        </w:tc>
      </w:tr>
      <w:tr w:rsidR="007C0528" w14:paraId="41F03423" w14:textId="77777777">
        <w:tc>
          <w:tcPr>
            <w:tcW w:w="1254" w:type="dxa"/>
            <w:tcBorders>
              <w:top w:val="nil"/>
              <w:left w:val="nil"/>
              <w:bottom w:val="nil"/>
              <w:right w:val="nil"/>
            </w:tcBorders>
            <w:shd w:val="clear" w:color="auto" w:fill="auto"/>
            <w:tcMar>
              <w:top w:w="288" w:type="dxa"/>
              <w:right w:w="0" w:type="dxa"/>
            </w:tcMar>
          </w:tcPr>
          <w:p w14:paraId="2283C5E2"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45554156" w14:textId="789D7052" w:rsidR="00987868" w:rsidRPr="00393262" w:rsidRDefault="00987868">
            <w:pPr>
              <w:pStyle w:val="MemoHeading"/>
              <w:rPr>
                <w:rFonts w:ascii="Freestyle Script" w:hAnsi="Freestyle Script"/>
                <w:b/>
                <w:bCs/>
                <w:color w:val="365F91" w:themeColor="accent1" w:themeShade="BF"/>
                <w:sz w:val="28"/>
                <w:szCs w:val="28"/>
              </w:rPr>
            </w:pPr>
            <w:bookmarkStart w:id="1" w:name="From"/>
            <w:r>
              <w:t>Office of the General Counsel (Crawford, Newman)</w:t>
            </w:r>
            <w:r w:rsidR="00393262">
              <w:t xml:space="preserve"> </w:t>
            </w:r>
            <w:r w:rsidR="00393262">
              <w:rPr>
                <w:rFonts w:ascii="Freestyle Script" w:hAnsi="Freestyle Script"/>
                <w:b/>
                <w:bCs/>
                <w:color w:val="365F91" w:themeColor="accent1" w:themeShade="BF"/>
                <w:sz w:val="28"/>
                <w:szCs w:val="28"/>
              </w:rPr>
              <w:t>JSC</w:t>
            </w:r>
          </w:p>
          <w:p w14:paraId="02583D2D" w14:textId="46B52A58" w:rsidR="007C0528" w:rsidRPr="00393262" w:rsidRDefault="00987868">
            <w:pPr>
              <w:pStyle w:val="MemoHeading"/>
              <w:rPr>
                <w:rFonts w:ascii="Freestyle Script" w:hAnsi="Freestyle Script"/>
                <w:b/>
                <w:bCs/>
                <w:color w:val="365F91" w:themeColor="accent1" w:themeShade="BF"/>
                <w:sz w:val="28"/>
                <w:szCs w:val="28"/>
              </w:rPr>
            </w:pPr>
            <w:r>
              <w:t>Division of Engineering (Brown)</w:t>
            </w:r>
            <w:bookmarkEnd w:id="1"/>
            <w:r w:rsidR="00393262">
              <w:t xml:space="preserve">  </w:t>
            </w:r>
            <w:r w:rsidR="00393262">
              <w:rPr>
                <w:rFonts w:ascii="Freestyle Script" w:hAnsi="Freestyle Script"/>
                <w:b/>
                <w:bCs/>
                <w:color w:val="365F91" w:themeColor="accent1" w:themeShade="BF"/>
                <w:sz w:val="28"/>
                <w:szCs w:val="28"/>
              </w:rPr>
              <w:t>LVK</w:t>
            </w:r>
          </w:p>
          <w:p w14:paraId="344B25A7" w14:textId="524E354F" w:rsidR="007F29E3" w:rsidRPr="00393262" w:rsidRDefault="007F29E3" w:rsidP="007F29E3">
            <w:pPr>
              <w:rPr>
                <w:rFonts w:ascii="Freestyle Script" w:hAnsi="Freestyle Script"/>
                <w:b/>
                <w:bCs/>
                <w:color w:val="365F91" w:themeColor="accent1" w:themeShade="BF"/>
                <w:sz w:val="28"/>
                <w:szCs w:val="28"/>
              </w:rPr>
            </w:pPr>
            <w:r>
              <w:t>Office of Consumer Assistance (Kendrick)</w:t>
            </w:r>
            <w:r w:rsidR="00393262">
              <w:t xml:space="preserve">  </w:t>
            </w:r>
            <w:r w:rsidR="00393262">
              <w:rPr>
                <w:rFonts w:ascii="Freestyle Script" w:hAnsi="Freestyle Script"/>
                <w:b/>
                <w:bCs/>
                <w:color w:val="365F91" w:themeColor="accent1" w:themeShade="BF"/>
                <w:sz w:val="28"/>
                <w:szCs w:val="28"/>
              </w:rPr>
              <w:t>AK</w:t>
            </w:r>
          </w:p>
        </w:tc>
      </w:tr>
      <w:tr w:rsidR="007C0528" w14:paraId="18D793A8" w14:textId="77777777">
        <w:tc>
          <w:tcPr>
            <w:tcW w:w="1254" w:type="dxa"/>
            <w:tcBorders>
              <w:top w:val="nil"/>
              <w:left w:val="nil"/>
              <w:bottom w:val="nil"/>
              <w:right w:val="nil"/>
            </w:tcBorders>
            <w:shd w:val="clear" w:color="auto" w:fill="auto"/>
            <w:tcMar>
              <w:top w:w="288" w:type="dxa"/>
              <w:right w:w="0" w:type="dxa"/>
            </w:tcMar>
          </w:tcPr>
          <w:p w14:paraId="370CEC98"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05DD60CF" w14:textId="6848C98D" w:rsidR="007C0528" w:rsidRDefault="00987868">
            <w:pPr>
              <w:pStyle w:val="MemoHeadingRe"/>
            </w:pPr>
            <w:bookmarkStart w:id="2" w:name="Re"/>
            <w:r>
              <w:t>Docket No. 20260045-EI – Formal complaint of Justin Gage against Duke Energy Florida, LLC for alleged violations of Commission rules, orders, and statutes governing electric utility safety standards, compliance certifications, and truthfulness in Commission filings.</w:t>
            </w:r>
            <w:bookmarkEnd w:id="2"/>
          </w:p>
        </w:tc>
      </w:tr>
      <w:tr w:rsidR="007C0528" w14:paraId="57486165" w14:textId="77777777">
        <w:tc>
          <w:tcPr>
            <w:tcW w:w="1254" w:type="dxa"/>
            <w:tcBorders>
              <w:top w:val="nil"/>
              <w:left w:val="nil"/>
              <w:bottom w:val="nil"/>
              <w:right w:val="nil"/>
            </w:tcBorders>
            <w:shd w:val="clear" w:color="auto" w:fill="auto"/>
            <w:tcMar>
              <w:top w:w="288" w:type="dxa"/>
              <w:bottom w:w="0" w:type="dxa"/>
              <w:right w:w="0" w:type="dxa"/>
            </w:tcMar>
          </w:tcPr>
          <w:p w14:paraId="21485F30"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70786F07" w14:textId="34A7867B" w:rsidR="007C0528" w:rsidRDefault="00987868">
            <w:pPr>
              <w:pStyle w:val="MemoHeading"/>
            </w:pPr>
            <w:bookmarkStart w:id="3" w:name="AgendaDate"/>
            <w:r>
              <w:t>07/07/26</w:t>
            </w:r>
            <w:bookmarkEnd w:id="3"/>
            <w:r w:rsidR="007C0528">
              <w:t xml:space="preserve"> – </w:t>
            </w:r>
            <w:bookmarkStart w:id="4" w:name="PermittedStatus"/>
            <w:r>
              <w:t xml:space="preserve">Regular Agenda – </w:t>
            </w:r>
            <w:r w:rsidR="00057F8E">
              <w:t xml:space="preserve">Proposed Agency Action – </w:t>
            </w:r>
            <w:r>
              <w:t>Interested Persons May Participate</w:t>
            </w:r>
            <w:bookmarkEnd w:id="4"/>
          </w:p>
        </w:tc>
      </w:tr>
      <w:tr w:rsidR="007C0528" w14:paraId="2AA6A0AF" w14:textId="77777777">
        <w:tc>
          <w:tcPr>
            <w:tcW w:w="3690" w:type="dxa"/>
            <w:gridSpan w:val="3"/>
            <w:tcBorders>
              <w:top w:val="nil"/>
              <w:left w:val="nil"/>
              <w:bottom w:val="nil"/>
              <w:right w:val="nil"/>
            </w:tcBorders>
            <w:shd w:val="clear" w:color="auto" w:fill="auto"/>
            <w:tcMar>
              <w:top w:w="288" w:type="dxa"/>
              <w:bottom w:w="0" w:type="dxa"/>
              <w:right w:w="0" w:type="dxa"/>
            </w:tcMar>
          </w:tcPr>
          <w:p w14:paraId="0ECD314B"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70E8B64D" w14:textId="0D0A192C" w:rsidR="007C0528" w:rsidRDefault="00987868">
            <w:pPr>
              <w:pStyle w:val="MemoHeading"/>
            </w:pPr>
            <w:bookmarkStart w:id="5" w:name="CommissionersAssigned"/>
            <w:r>
              <w:t>All Commissioners</w:t>
            </w:r>
            <w:bookmarkEnd w:id="5"/>
          </w:p>
        </w:tc>
      </w:tr>
      <w:tr w:rsidR="007C0528" w14:paraId="3C5FC218" w14:textId="77777777">
        <w:tc>
          <w:tcPr>
            <w:tcW w:w="3690" w:type="dxa"/>
            <w:gridSpan w:val="3"/>
            <w:tcBorders>
              <w:top w:val="nil"/>
              <w:left w:val="nil"/>
              <w:bottom w:val="nil"/>
              <w:right w:val="nil"/>
            </w:tcBorders>
            <w:shd w:val="clear" w:color="auto" w:fill="auto"/>
            <w:tcMar>
              <w:top w:w="288" w:type="dxa"/>
              <w:bottom w:w="0" w:type="dxa"/>
              <w:right w:w="0" w:type="dxa"/>
            </w:tcMar>
          </w:tcPr>
          <w:p w14:paraId="556F2507"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23EC5403" w14:textId="57745359" w:rsidR="007C0528" w:rsidRDefault="00987868">
            <w:pPr>
              <w:pStyle w:val="MemoHeading"/>
            </w:pPr>
            <w:bookmarkStart w:id="6" w:name="PrehearingOfficer"/>
            <w:r>
              <w:t>Clark</w:t>
            </w:r>
            <w:bookmarkEnd w:id="6"/>
          </w:p>
        </w:tc>
      </w:tr>
      <w:tr w:rsidR="007C0528" w14:paraId="2E6A381A"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40A5E5BD"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376B6764" w14:textId="0B0D01C8" w:rsidR="007C0528" w:rsidRDefault="00987868">
            <w:pPr>
              <w:pStyle w:val="MemoHeading"/>
            </w:pPr>
            <w:bookmarkStart w:id="8" w:name="CriticalDates"/>
            <w:r>
              <w:t>None</w:t>
            </w:r>
            <w:bookmarkEnd w:id="8"/>
          </w:p>
        </w:tc>
      </w:tr>
      <w:tr w:rsidR="007C0528" w14:paraId="6C8930E7"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3BF70FF1"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102B69DE" w14:textId="24AE572C" w:rsidR="007C0528" w:rsidRDefault="00987868">
            <w:pPr>
              <w:pStyle w:val="MemoHeading"/>
            </w:pPr>
            <w:bookmarkStart w:id="9" w:name="SpecialInstructions"/>
            <w:r>
              <w:t>None</w:t>
            </w:r>
            <w:bookmarkEnd w:id="9"/>
          </w:p>
        </w:tc>
      </w:tr>
    </w:tbl>
    <w:p w14:paraId="66260427" w14:textId="77777777" w:rsidR="007C0528" w:rsidRDefault="007C0528">
      <w:pPr>
        <w:pStyle w:val="BodyText"/>
      </w:pPr>
    </w:p>
    <w:p w14:paraId="5B7A3E48"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498B615E" w14:textId="54C678ED" w:rsidR="00B453B4" w:rsidRDefault="00401813">
      <w:pPr>
        <w:pStyle w:val="BodyText"/>
      </w:pPr>
      <w:r>
        <w:t>On October 17,</w:t>
      </w:r>
      <w:r w:rsidR="00F21F84">
        <w:t xml:space="preserve"> 2025,</w:t>
      </w:r>
      <w:r>
        <w:t xml:space="preserve"> Mr. Justin Gage (Mr. Gage) filed Informal Complaint No 1488062E, alleging that a PME-4 switchgear </w:t>
      </w:r>
      <w:r w:rsidR="009A31C7">
        <w:t>unit</w:t>
      </w:r>
      <w:r w:rsidR="00C82594">
        <w:rPr>
          <w:rStyle w:val="FootnoteReference"/>
        </w:rPr>
        <w:footnoteReference w:id="1"/>
      </w:r>
      <w:r w:rsidR="009A31C7">
        <w:t xml:space="preserve"> </w:t>
      </w:r>
      <w:r>
        <w:t>administered by Duke Energy Florida</w:t>
      </w:r>
      <w:r w:rsidR="00FB32D1">
        <w:t>, LLC</w:t>
      </w:r>
      <w:r>
        <w:t xml:space="preserve"> (DEF) located near his house was out of compliance with </w:t>
      </w:r>
      <w:r w:rsidR="00AA5DFC">
        <w:t>the National Electrical Safety Code (NESC)</w:t>
      </w:r>
      <w:r>
        <w:t xml:space="preserve">. </w:t>
      </w:r>
      <w:r w:rsidR="00B453B4">
        <w:t>In particular, Mr. Gage alleged that the PME</w:t>
      </w:r>
      <w:r w:rsidR="009E588E">
        <w:t xml:space="preserve">-4 </w:t>
      </w:r>
      <w:r w:rsidR="009A31C7">
        <w:t xml:space="preserve">unit </w:t>
      </w:r>
      <w:r w:rsidR="009E588E">
        <w:t>had missing or improper safety stickers</w:t>
      </w:r>
      <w:r w:rsidR="00B453B4">
        <w:t>,</w:t>
      </w:r>
      <w:r w:rsidR="009E588E">
        <w:t xml:space="preserve"> was improperly sealed at the base, and that the door of the </w:t>
      </w:r>
      <w:r w:rsidR="009A31C7">
        <w:t>unit</w:t>
      </w:r>
      <w:r w:rsidR="009E588E">
        <w:t xml:space="preserve"> was too close to </w:t>
      </w:r>
      <w:r w:rsidR="009A31C7">
        <w:t xml:space="preserve">nearby </w:t>
      </w:r>
      <w:r w:rsidR="009E588E">
        <w:t xml:space="preserve">bushes to be fully opened.  </w:t>
      </w:r>
      <w:r w:rsidR="00B453B4">
        <w:t xml:space="preserve"> </w:t>
      </w:r>
    </w:p>
    <w:p w14:paraId="7BB4427E" w14:textId="54F42587" w:rsidR="0068481F" w:rsidRDefault="004F31D6">
      <w:pPr>
        <w:pStyle w:val="BodyText"/>
      </w:pPr>
      <w:r>
        <w:lastRenderedPageBreak/>
        <w:t>M</w:t>
      </w:r>
      <w:r w:rsidR="0079030B">
        <w:t xml:space="preserve">r. Gage had </w:t>
      </w:r>
      <w:r w:rsidR="00F21F84">
        <w:t xml:space="preserve">previously </w:t>
      </w:r>
      <w:r w:rsidR="0079030B">
        <w:t>been in contact with DEF regarding the PME-4</w:t>
      </w:r>
      <w:r w:rsidR="00F21F84">
        <w:t>. On September 4,</w:t>
      </w:r>
      <w:r w:rsidR="009A31C7">
        <w:t xml:space="preserve"> 2025,</w:t>
      </w:r>
      <w:r w:rsidR="00F21F84">
        <w:t xml:space="preserve"> Mr. Gage reported </w:t>
      </w:r>
      <w:r w:rsidR="00B453B4">
        <w:t xml:space="preserve">that a loud boom had come from the </w:t>
      </w:r>
      <w:r w:rsidR="00F21F84">
        <w:t>PME-4</w:t>
      </w:r>
      <w:r w:rsidR="00B453B4">
        <w:t xml:space="preserve">. </w:t>
      </w:r>
      <w:r w:rsidR="008B16CC">
        <w:t xml:space="preserve">A </w:t>
      </w:r>
      <w:r w:rsidR="00F21F84">
        <w:t>DEF</w:t>
      </w:r>
      <w:r w:rsidR="008B16CC">
        <w:t xml:space="preserve"> technician</w:t>
      </w:r>
      <w:r w:rsidR="00F21F84">
        <w:t xml:space="preserve"> arrived onsite and confirmed that Mr. Gage had power. At that time Mr. Gage </w:t>
      </w:r>
      <w:r w:rsidR="00DB5E0E">
        <w:t>raised</w:t>
      </w:r>
      <w:r w:rsidR="00F21F84">
        <w:t xml:space="preserve"> his </w:t>
      </w:r>
      <w:r w:rsidR="008B16CC">
        <w:t xml:space="preserve">concerns with the PME-4 </w:t>
      </w:r>
      <w:r w:rsidR="00DB5E0E">
        <w:t>with</w:t>
      </w:r>
      <w:r w:rsidR="008B16CC">
        <w:t xml:space="preserve"> the technician. The technician told Mr. Gage that his concerns would be investigated and put a safety sticker on the </w:t>
      </w:r>
      <w:r w:rsidR="009A31C7">
        <w:t>unit</w:t>
      </w:r>
      <w:r w:rsidR="008B16CC">
        <w:t xml:space="preserve">. A DEF investigation found that the PME-4 was in compliance with the </w:t>
      </w:r>
      <w:r w:rsidR="00AA5DFC">
        <w:t>NESC and that Mr. Gage was not served by that PME-4 but by a nearby transformer</w:t>
      </w:r>
      <w:r w:rsidR="00140A2C">
        <w:t xml:space="preserve">. Mr. Gage then filed </w:t>
      </w:r>
      <w:r w:rsidR="00C82594">
        <w:t>an</w:t>
      </w:r>
      <w:r w:rsidR="00140A2C">
        <w:t xml:space="preserve"> </w:t>
      </w:r>
      <w:r w:rsidR="00C82594">
        <w:t>i</w:t>
      </w:r>
      <w:r w:rsidR="00140A2C">
        <w:t xml:space="preserve">nformal </w:t>
      </w:r>
      <w:r w:rsidR="00C82594">
        <w:t>c</w:t>
      </w:r>
      <w:r w:rsidR="00140A2C">
        <w:t>omplaint with the Commission</w:t>
      </w:r>
      <w:r w:rsidR="00C82594">
        <w:t xml:space="preserve"> under Rule 25-22.032, Florida Administrative Code (F.A.C.)</w:t>
      </w:r>
      <w:r w:rsidR="00140A2C">
        <w:t xml:space="preserve">. </w:t>
      </w:r>
    </w:p>
    <w:p w14:paraId="7BC534C5" w14:textId="383E0095" w:rsidR="00140A2C" w:rsidRDefault="0006521E">
      <w:pPr>
        <w:pStyle w:val="BodyText"/>
      </w:pPr>
      <w:r>
        <w:t xml:space="preserve">While the </w:t>
      </w:r>
      <w:r w:rsidR="00C82594">
        <w:t>i</w:t>
      </w:r>
      <w:r>
        <w:t xml:space="preserve">nformal </w:t>
      </w:r>
      <w:r w:rsidR="00C82594">
        <w:t>c</w:t>
      </w:r>
      <w:r>
        <w:t>omplaint was being processed</w:t>
      </w:r>
      <w:r w:rsidR="00C82594">
        <w:t xml:space="preserve"> at the Commission</w:t>
      </w:r>
      <w:r>
        <w:t xml:space="preserve">, Mr. Gage also filed a complaint with the Occupational Safety and Health Administration (OSHA). </w:t>
      </w:r>
      <w:r w:rsidR="00377879">
        <w:t>OSHA reached out to DEF about the complaint and a DEF Supervisor and Safety Professional examined the PME-4 on November 25</w:t>
      </w:r>
      <w:r w:rsidR="009A31C7">
        <w:t>, 2025</w:t>
      </w:r>
      <w:r w:rsidR="00377879">
        <w:t xml:space="preserve">. They found no OSHA or </w:t>
      </w:r>
      <w:r w:rsidR="00AA5DFC">
        <w:t>NESC</w:t>
      </w:r>
      <w:r w:rsidR="00377879">
        <w:t xml:space="preserve"> violations. </w:t>
      </w:r>
      <w:r w:rsidR="00FC67E6">
        <w:t>On</w:t>
      </w:r>
      <w:r w:rsidR="00377879">
        <w:t xml:space="preserve"> or about that </w:t>
      </w:r>
      <w:r w:rsidR="00FC67E6">
        <w:t>date</w:t>
      </w:r>
      <w:r w:rsidR="00377879">
        <w:t xml:space="preserve">, DEF removed the bushes </w:t>
      </w:r>
      <w:r w:rsidR="00645D3D">
        <w:t xml:space="preserve">that were near the PME-4. </w:t>
      </w:r>
      <w:r w:rsidR="00FC67E6">
        <w:t>In early December OSHA informed Mr. Gage that his case was being closed because the bushes were removed.</w:t>
      </w:r>
    </w:p>
    <w:p w14:paraId="023B9811" w14:textId="47FD354C" w:rsidR="00AA5DFC" w:rsidRDefault="00FB4FAE">
      <w:pPr>
        <w:pStyle w:val="BodyText"/>
      </w:pPr>
      <w:r>
        <w:t>On</w:t>
      </w:r>
      <w:r w:rsidR="00AA5DFC">
        <w:t xml:space="preserve"> January </w:t>
      </w:r>
      <w:r>
        <w:t xml:space="preserve">6, </w:t>
      </w:r>
      <w:r w:rsidR="00AA5DFC">
        <w:t xml:space="preserve">2026, Commission </w:t>
      </w:r>
      <w:r w:rsidR="00C82594">
        <w:t xml:space="preserve">engineering safety </w:t>
      </w:r>
      <w:r w:rsidR="00AA5DFC">
        <w:t xml:space="preserve">staff examined the PME-4 </w:t>
      </w:r>
      <w:r w:rsidR="009A31C7">
        <w:t>unit</w:t>
      </w:r>
      <w:r w:rsidR="00AA5DFC">
        <w:t xml:space="preserve"> and found no violations of the NESC. </w:t>
      </w:r>
      <w:r w:rsidR="00CC1B6B">
        <w:t>Mr. Gage was unsatisfied and the matter was referred to the Commission’s Process Review Team (PRT) for review.</w:t>
      </w:r>
      <w:r w:rsidR="00AA5DFC">
        <w:t xml:space="preserve"> </w:t>
      </w:r>
      <w:r w:rsidR="00CC1B6B">
        <w:t>In March</w:t>
      </w:r>
      <w:r w:rsidR="00DF38C2">
        <w:t>,</w:t>
      </w:r>
      <w:r w:rsidR="00CC1B6B">
        <w:t xml:space="preserve"> Commission staff advised Mr. Gage that</w:t>
      </w:r>
      <w:r w:rsidR="00DF38C2">
        <w:t xml:space="preserve"> his informal complaint had been reviewed by the PRT, and</w:t>
      </w:r>
      <w:r w:rsidR="00CC1B6B">
        <w:t xml:space="preserve"> it did not appear that DEF had violated any Commission statutes, rules, orders, or its tariff in its handling of the matter, and that the Commission did not have jurisdiction </w:t>
      </w:r>
      <w:r w:rsidR="00FB32D1">
        <w:t>to award damages</w:t>
      </w:r>
      <w:r w:rsidR="00CC1B6B">
        <w:t>.</w:t>
      </w:r>
    </w:p>
    <w:p w14:paraId="614F660A" w14:textId="50205FCF" w:rsidR="00DF38C2" w:rsidRDefault="00DF38C2">
      <w:pPr>
        <w:pStyle w:val="BodyText"/>
      </w:pPr>
      <w:r>
        <w:t xml:space="preserve">On March 27, 2026, Mr. Gage filed a formal complaint against DEF </w:t>
      </w:r>
      <w:r w:rsidR="00C82594">
        <w:t xml:space="preserve">under Rule 25-22.036(3)(b), F.A.C., </w:t>
      </w:r>
      <w:r>
        <w:t xml:space="preserve">alleging the same material facts contained in his informal complaint. The formal complaint </w:t>
      </w:r>
      <w:r w:rsidR="00B34AC7">
        <w:t>asserts</w:t>
      </w:r>
      <w:r>
        <w:t xml:space="preserve"> that the PME-4 </w:t>
      </w:r>
      <w:r w:rsidR="009A31C7">
        <w:t>unit</w:t>
      </w:r>
      <w:r>
        <w:t xml:space="preserve"> was</w:t>
      </w:r>
      <w:r w:rsidR="00C82594">
        <w:t xml:space="preserve"> </w:t>
      </w:r>
      <w:r>
        <w:t xml:space="preserve">out of compliance with the NESC from September 2025 to December 2025. Mr. Gage further alleges that DEF made false or misleading statements to the Commission regarding the PME-4’s compliance, and that Commission staff failed to properly review his informal complaint. </w:t>
      </w:r>
    </w:p>
    <w:p w14:paraId="679E1CF9" w14:textId="2E5DACC5" w:rsidR="00DF38C2" w:rsidRDefault="00DF38C2">
      <w:pPr>
        <w:pStyle w:val="BodyText"/>
      </w:pPr>
      <w:r>
        <w:t xml:space="preserve">On April 3, 2026, DEF filed a Motion to Dismiss the Complaint. DEF asserts that the complaint does not comply with Rule 25-22.036, </w:t>
      </w:r>
      <w:r w:rsidR="004D49E4">
        <w:t>F.A.C.</w:t>
      </w:r>
      <w:r w:rsidR="00C82594">
        <w:t>,</w:t>
      </w:r>
      <w:r w:rsidR="004D49E4">
        <w:t xml:space="preserve"> </w:t>
      </w:r>
      <w:r>
        <w:t xml:space="preserve">because the complaint fails to </w:t>
      </w:r>
      <w:r w:rsidR="00B34AC7">
        <w:t>contain competent substantial evidence</w:t>
      </w:r>
      <w:r>
        <w:t xml:space="preserve"> </w:t>
      </w:r>
      <w:r w:rsidR="00B34AC7">
        <w:t>that any action taken by DEF constitutes a violation of any applicable statute, rule, Commission order, or</w:t>
      </w:r>
      <w:r w:rsidR="00FB32D1">
        <w:t xml:space="preserve"> the company tariff. Further</w:t>
      </w:r>
      <w:r w:rsidR="00B34AC7">
        <w:t xml:space="preserve">, DEF denies that it made any false statements to the Commission. On April 6, Mr. Gage filed a response, </w:t>
      </w:r>
      <w:r w:rsidR="004D49E4">
        <w:t>asserting that the complaint sets forth photographic evidence of NESC violations.</w:t>
      </w:r>
      <w:r w:rsidR="00C82594">
        <w:rPr>
          <w:rStyle w:val="FootnoteReference"/>
        </w:rPr>
        <w:footnoteReference w:id="2"/>
      </w:r>
      <w:r w:rsidR="004D49E4">
        <w:t xml:space="preserve"> </w:t>
      </w:r>
    </w:p>
    <w:p w14:paraId="5E4B2C53" w14:textId="5681BFC6" w:rsidR="004D49E4" w:rsidRDefault="004D49E4">
      <w:pPr>
        <w:pStyle w:val="BodyText"/>
      </w:pPr>
      <w:r>
        <w:t>This recommendation addresses whether DEF’s Motion to Dismiss the Complaint should be granted and the appropriate disposition of Mr. Gage’s complaint against DEF. The Commission has jurisdiction over this matter pursuant to Section 366.04.</w:t>
      </w:r>
      <w:r w:rsidR="003139BE">
        <w:t>,</w:t>
      </w:r>
      <w:r>
        <w:t xml:space="preserve"> Florida Statutes (F.S.). </w:t>
      </w:r>
    </w:p>
    <w:p w14:paraId="1547FF90" w14:textId="77777777" w:rsidR="00FC67E6" w:rsidRDefault="00FC67E6">
      <w:pPr>
        <w:pStyle w:val="BodyText"/>
      </w:pPr>
    </w:p>
    <w:p w14:paraId="4D67E305" w14:textId="77777777" w:rsidR="007C0528" w:rsidRDefault="007C0528" w:rsidP="0068481F"/>
    <w:bookmarkEnd w:id="11"/>
    <w:p w14:paraId="257D0B6A"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492B97C1" w14:textId="77777777" w:rsidR="007C0528" w:rsidRDefault="007C0528">
      <w:pPr>
        <w:pStyle w:val="RecommendationMajorSectionHeading"/>
      </w:pPr>
      <w:bookmarkStart w:id="15" w:name="DiscussionOfIssues"/>
      <w:r>
        <w:t>Discussion of Issues</w:t>
      </w:r>
    </w:p>
    <w:bookmarkEnd w:id="15"/>
    <w:p w14:paraId="0269DD36" w14:textId="6F969454" w:rsidR="00987868" w:rsidRDefault="00987868">
      <w:pPr>
        <w:pStyle w:val="IssueHeading"/>
        <w:rPr>
          <w:vanish/>
          <w:specVanish/>
        </w:rPr>
      </w:pPr>
      <w:r w:rsidRPr="004C3641">
        <w:t xml:space="preserve">Issue </w:t>
      </w:r>
      <w:r w:rsidR="00D4321D">
        <w:fldChar w:fldCharType="begin"/>
      </w:r>
      <w:r w:rsidR="00D4321D">
        <w:instrText xml:space="preserve"> SEQ Issue \* MERGEFORMAT </w:instrText>
      </w:r>
      <w:r w:rsidR="00D4321D">
        <w:fldChar w:fldCharType="separate"/>
      </w:r>
      <w:r w:rsidR="00D4321D">
        <w:rPr>
          <w:noProof/>
        </w:rPr>
        <w:t>1</w:t>
      </w:r>
      <w:r w:rsidR="00D4321D">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D4321D">
        <w:rPr>
          <w:noProof/>
        </w:rPr>
        <w:instrText>1</w:instrText>
      </w:r>
      <w:r>
        <w:fldChar w:fldCharType="end"/>
      </w:r>
      <w:r>
        <w:tab/>
        <w:instrText xml:space="preserve">" \l 1 </w:instrText>
      </w:r>
      <w:r>
        <w:fldChar w:fldCharType="end"/>
      </w:r>
      <w:r>
        <w:t> </w:t>
      </w:r>
    </w:p>
    <w:p w14:paraId="3258015D" w14:textId="3B63E684" w:rsidR="00987868" w:rsidRDefault="00987868">
      <w:pPr>
        <w:pStyle w:val="BodyText"/>
      </w:pPr>
      <w:r>
        <w:t> </w:t>
      </w:r>
      <w:r w:rsidR="001C787F">
        <w:t>Should the Commission grant DEF’s Motion to Dismiss?</w:t>
      </w:r>
    </w:p>
    <w:p w14:paraId="75390EB9" w14:textId="77777777" w:rsidR="00987868" w:rsidRPr="004C3641" w:rsidRDefault="00987868">
      <w:pPr>
        <w:pStyle w:val="IssueSubsectionHeading"/>
        <w:rPr>
          <w:vanish/>
          <w:specVanish/>
        </w:rPr>
      </w:pPr>
      <w:r w:rsidRPr="004C3641">
        <w:t>Recommendation: </w:t>
      </w:r>
    </w:p>
    <w:p w14:paraId="28F6BA0E" w14:textId="75CF27BC" w:rsidR="00987868" w:rsidRDefault="00987868">
      <w:pPr>
        <w:pStyle w:val="BodyText"/>
      </w:pPr>
      <w:r>
        <w:t> </w:t>
      </w:r>
      <w:r w:rsidR="00FB32D1">
        <w:t>No, the Commission should deny DEF’s Motion.</w:t>
      </w:r>
      <w:r w:rsidR="00C82594">
        <w:t xml:space="preserve"> (Newman, Crawford)</w:t>
      </w:r>
      <w:r w:rsidR="00FB32D1">
        <w:t xml:space="preserve"> </w:t>
      </w:r>
      <w:r>
        <w:t xml:space="preserve"> </w:t>
      </w:r>
    </w:p>
    <w:p w14:paraId="3EB6C838" w14:textId="77777777" w:rsidR="00987868" w:rsidRPr="004C3641" w:rsidRDefault="00987868">
      <w:pPr>
        <w:pStyle w:val="IssueSubsectionHeading"/>
        <w:rPr>
          <w:vanish/>
          <w:specVanish/>
        </w:rPr>
      </w:pPr>
      <w:r w:rsidRPr="004C3641">
        <w:t>Staff Analysis: </w:t>
      </w:r>
    </w:p>
    <w:p w14:paraId="052BDAA6" w14:textId="037C301C" w:rsidR="00987868" w:rsidRDefault="00987868">
      <w:pPr>
        <w:pStyle w:val="BodyText"/>
      </w:pPr>
      <w:r>
        <w:t> </w:t>
      </w:r>
    </w:p>
    <w:p w14:paraId="4E4E429E" w14:textId="7DC0ADC9" w:rsidR="00702983" w:rsidRDefault="00702983">
      <w:pPr>
        <w:pStyle w:val="BodyText"/>
        <w:rPr>
          <w:u w:val="single"/>
        </w:rPr>
      </w:pPr>
      <w:r w:rsidRPr="00702983">
        <w:rPr>
          <w:u w:val="single"/>
        </w:rPr>
        <w:t>Legal Standard</w:t>
      </w:r>
    </w:p>
    <w:p w14:paraId="63D806C2" w14:textId="048C85E9" w:rsidR="00702983" w:rsidRDefault="00702983" w:rsidP="00CB5CD6">
      <w:pPr>
        <w:pStyle w:val="BodyText"/>
      </w:pPr>
      <w:r w:rsidRPr="00702983">
        <w:t>To sustain a motion to di</w:t>
      </w:r>
      <w:r w:rsidR="00B0702E">
        <w:t>s</w:t>
      </w:r>
      <w:r w:rsidRPr="00702983">
        <w:t>miss</w:t>
      </w:r>
      <w:r w:rsidR="00B0702E">
        <w:t xml:space="preserve">, </w:t>
      </w:r>
      <w:r w:rsidR="00615491">
        <w:t xml:space="preserve">the moving party must show that, accepting all allegations as true, the </w:t>
      </w:r>
      <w:r w:rsidR="00CB5CD6">
        <w:t>petition</w:t>
      </w:r>
      <w:r w:rsidR="00615491">
        <w:t xml:space="preserve"> fails to state a cause of action for which relief may be granted. </w:t>
      </w:r>
      <w:r w:rsidR="00615491">
        <w:rPr>
          <w:i/>
        </w:rPr>
        <w:t>Varnes v. Dawkins</w:t>
      </w:r>
      <w:r w:rsidR="00615491">
        <w:t xml:space="preserve">, 624 So. 2d 349, 350 (Fla. 1st DCA 1993). </w:t>
      </w:r>
      <w:r w:rsidR="00122225">
        <w:t xml:space="preserve">The moving party must specify the grounds for the motion to dismiss, and all material allegations must be construed against the moving party </w:t>
      </w:r>
      <w:r w:rsidR="00485961">
        <w:t xml:space="preserve">in determining if the petitioner has stated the necessary allegations. </w:t>
      </w:r>
      <w:r w:rsidR="00CB5CD6">
        <w:t>A determination of the petition’s suffic</w:t>
      </w:r>
      <w:r w:rsidR="00C82594">
        <w:t>i</w:t>
      </w:r>
      <w:r w:rsidR="00CB5CD6">
        <w:t xml:space="preserve">ency is confined to the petition and the documents incorporated therein and the grounds asserted in the motion to dismiss. </w:t>
      </w:r>
      <w:r w:rsidR="00CB5CD6">
        <w:rPr>
          <w:i/>
        </w:rPr>
        <w:t>Id</w:t>
      </w:r>
      <w:r w:rsidR="00CB5CD6">
        <w:t>. All allegations in the petition must be viewed as true and in the light most favorable to the petitioner in order to determin</w:t>
      </w:r>
      <w:r w:rsidR="002C22AA">
        <w:t>e</w:t>
      </w:r>
      <w:r w:rsidR="00CB5CD6">
        <w:t xml:space="preserve"> whether there is a cause of action upon which relief may be granted. </w:t>
      </w:r>
      <w:r w:rsidR="00122225">
        <w:rPr>
          <w:i/>
        </w:rPr>
        <w:t>Id</w:t>
      </w:r>
      <w:r w:rsidR="00122225">
        <w:t xml:space="preserve">. </w:t>
      </w:r>
    </w:p>
    <w:p w14:paraId="58D99945" w14:textId="7C22E4B7" w:rsidR="0009114A" w:rsidRDefault="0009114A" w:rsidP="00CB5CD6">
      <w:pPr>
        <w:pStyle w:val="BodyText"/>
      </w:pPr>
      <w:r>
        <w:t>Rule 25-22.036.</w:t>
      </w:r>
      <w:r w:rsidR="003139BE">
        <w:t>,</w:t>
      </w:r>
      <w:r>
        <w:t xml:space="preserve"> F.A.C.</w:t>
      </w:r>
      <w:r w:rsidR="003139BE">
        <w:t>,</w:t>
      </w:r>
      <w:r>
        <w:t xml:space="preserve"> prescribes the elements that must be contained in a formal complaint:</w:t>
      </w:r>
    </w:p>
    <w:p w14:paraId="3284D01E" w14:textId="592FB363" w:rsidR="0009114A" w:rsidRDefault="0009114A" w:rsidP="0009114A">
      <w:pPr>
        <w:pStyle w:val="BodyText"/>
        <w:numPr>
          <w:ilvl w:val="0"/>
          <w:numId w:val="11"/>
        </w:numPr>
      </w:pPr>
      <w:r>
        <w:t>The rule, order, or statute that has been violated;</w:t>
      </w:r>
    </w:p>
    <w:p w14:paraId="72B880E8" w14:textId="533AB3AF" w:rsidR="0009114A" w:rsidRDefault="0009114A" w:rsidP="0009114A">
      <w:pPr>
        <w:pStyle w:val="BodyText"/>
        <w:numPr>
          <w:ilvl w:val="0"/>
          <w:numId w:val="11"/>
        </w:numPr>
      </w:pPr>
      <w:r>
        <w:t>The actions that constitute the violation;</w:t>
      </w:r>
    </w:p>
    <w:p w14:paraId="4B7FC4EF" w14:textId="37A195CB" w:rsidR="0009114A" w:rsidRDefault="0009114A" w:rsidP="0009114A">
      <w:pPr>
        <w:pStyle w:val="BodyText"/>
        <w:numPr>
          <w:ilvl w:val="0"/>
          <w:numId w:val="11"/>
        </w:numPr>
      </w:pPr>
      <w:r>
        <w:t>The nam</w:t>
      </w:r>
      <w:r w:rsidR="00220002">
        <w:t>e</w:t>
      </w:r>
      <w:r>
        <w:t xml:space="preserve"> and address of the person against whom the complaint is lodged;</w:t>
      </w:r>
      <w:r w:rsidR="00220002">
        <w:t xml:space="preserve"> and</w:t>
      </w:r>
    </w:p>
    <w:p w14:paraId="2E023D57" w14:textId="12128CAA" w:rsidR="0009114A" w:rsidRDefault="0009114A" w:rsidP="0009114A">
      <w:pPr>
        <w:pStyle w:val="BodyText"/>
        <w:numPr>
          <w:ilvl w:val="0"/>
          <w:numId w:val="11"/>
        </w:numPr>
      </w:pPr>
      <w:r>
        <w:t>The specific relief requested, including any penalty sought.</w:t>
      </w:r>
    </w:p>
    <w:p w14:paraId="7CC80C3C" w14:textId="299D5A05" w:rsidR="00702983" w:rsidRDefault="00702983">
      <w:pPr>
        <w:pStyle w:val="BodyText"/>
        <w:rPr>
          <w:u w:val="single"/>
        </w:rPr>
      </w:pPr>
      <w:r w:rsidRPr="00702983">
        <w:rPr>
          <w:u w:val="single"/>
        </w:rPr>
        <w:t>Formal Complaint</w:t>
      </w:r>
    </w:p>
    <w:p w14:paraId="14932C0A" w14:textId="04BE32AC" w:rsidR="00485961" w:rsidRPr="00485961" w:rsidRDefault="00485961">
      <w:pPr>
        <w:pStyle w:val="BodyText"/>
      </w:pPr>
      <w:r>
        <w:t>Mr. Gage’s formal complaint states that DEF violated</w:t>
      </w:r>
      <w:r w:rsidR="0009114A">
        <w:t xml:space="preserve"> </w:t>
      </w:r>
      <w:r w:rsidR="00A96516">
        <w:t>three Rules: Rule 25-6.0345,</w:t>
      </w:r>
      <w:r w:rsidR="00C82594">
        <w:t xml:space="preserve"> F.A.C.,</w:t>
      </w:r>
      <w:r w:rsidR="00A96516">
        <w:t xml:space="preserve"> which adopts the 2023 NESC as the applicable safety standards for transmission and distribution facilities; Rule 25-6.039,</w:t>
      </w:r>
      <w:r w:rsidR="00C82594">
        <w:t xml:space="preserve"> F.A.C.,</w:t>
      </w:r>
      <w:r w:rsidR="00A96516">
        <w:t xml:space="preserve"> which requires utilit</w:t>
      </w:r>
      <w:r w:rsidR="00C82594">
        <w:t>i</w:t>
      </w:r>
      <w:r w:rsidR="00A96516">
        <w:t xml:space="preserve">es to establish safe work practices; and Rule 25-6.0346, which requires utilities to submit quarterly reports certifying work </w:t>
      </w:r>
      <w:r w:rsidR="00626824">
        <w:t xml:space="preserve">order </w:t>
      </w:r>
      <w:r w:rsidR="00A96516">
        <w:t xml:space="preserve">compliance with all applicable </w:t>
      </w:r>
      <w:r w:rsidR="00C82594">
        <w:t xml:space="preserve">safety </w:t>
      </w:r>
      <w:r w:rsidR="00A96516">
        <w:t xml:space="preserve">standards. </w:t>
      </w:r>
      <w:r w:rsidR="00D309F8">
        <w:t>To support these claims, Mr. Gag</w:t>
      </w:r>
      <w:r w:rsidR="00BD7EE6">
        <w:t>e</w:t>
      </w:r>
      <w:r w:rsidR="00340B43">
        <w:t xml:space="preserve"> supplied photographs purporting to show the violations with explanatory text.</w:t>
      </w:r>
      <w:r>
        <w:t xml:space="preserve"> </w:t>
      </w:r>
    </w:p>
    <w:p w14:paraId="51BA811C" w14:textId="44EF5DBC" w:rsidR="00702983" w:rsidRDefault="00702983">
      <w:pPr>
        <w:pStyle w:val="BodyText"/>
        <w:rPr>
          <w:u w:val="single"/>
        </w:rPr>
      </w:pPr>
      <w:r w:rsidRPr="00702983">
        <w:rPr>
          <w:u w:val="single"/>
        </w:rPr>
        <w:t>DEF’s Motion to Dismiss</w:t>
      </w:r>
    </w:p>
    <w:p w14:paraId="2D564367" w14:textId="18C10FD8" w:rsidR="00220002" w:rsidRDefault="00340B43">
      <w:pPr>
        <w:pStyle w:val="BodyText"/>
      </w:pPr>
      <w:r>
        <w:t>DEF’s Motion to Dismiss states that the complaint “fails to provide competent or substantial evidence” that any of DEF’</w:t>
      </w:r>
      <w:r w:rsidR="00634B7B">
        <w:t xml:space="preserve">s actions violate any rule. DEF states that </w:t>
      </w:r>
      <w:r w:rsidR="00C82594">
        <w:t>it has</w:t>
      </w:r>
      <w:r w:rsidR="00634B7B">
        <w:t xml:space="preserve"> repeatedly inspected the PME-4 and have found no NESC violations. DEF further states that </w:t>
      </w:r>
      <w:r w:rsidR="00C82594">
        <w:t>it has</w:t>
      </w:r>
      <w:r w:rsidR="00634B7B">
        <w:t xml:space="preserve"> never made false or misleading statements to the Commission regarding the inspections of the PME-4. Mr. Gage’s response to DEF’s Motion to D</w:t>
      </w:r>
      <w:r w:rsidR="00220002">
        <w:t xml:space="preserve">ismiss reiterates the claims made in the </w:t>
      </w:r>
      <w:r w:rsidR="00C82594">
        <w:t>formal c</w:t>
      </w:r>
      <w:r w:rsidR="00220002">
        <w:t>omplaint about the physical condition of the PME-4.</w:t>
      </w:r>
    </w:p>
    <w:p w14:paraId="742BFCF1" w14:textId="0EBABFA1" w:rsidR="00485961" w:rsidRPr="00220002" w:rsidRDefault="00485961">
      <w:pPr>
        <w:pStyle w:val="BodyText"/>
      </w:pPr>
      <w:r w:rsidRPr="00485961">
        <w:rPr>
          <w:u w:val="single"/>
        </w:rPr>
        <w:t>Analysis</w:t>
      </w:r>
    </w:p>
    <w:p w14:paraId="6FF9B915" w14:textId="7527882E" w:rsidR="00F17FFD" w:rsidRDefault="00485961" w:rsidP="00485961">
      <w:pPr>
        <w:pStyle w:val="BodyText"/>
      </w:pPr>
      <w:r>
        <w:t>The Commission has previously held pro se litigants such as Mr. Gage to a relaxed pleading standard, in order to prevent delay and promote resolution of litigants’ claims.</w:t>
      </w:r>
      <w:r w:rsidR="00220002">
        <w:t xml:space="preserve"> Staff believes the petition states a cause of action related to the </w:t>
      </w:r>
      <w:r w:rsidR="002C22AA">
        <w:t xml:space="preserve">safety compliance of </w:t>
      </w:r>
      <w:r w:rsidR="00EB1294">
        <w:t>DEF</w:t>
      </w:r>
      <w:r w:rsidR="002C22AA">
        <w:t xml:space="preserve"> facilities</w:t>
      </w:r>
      <w:r w:rsidR="00F17FFD">
        <w:t>,</w:t>
      </w:r>
      <w:r w:rsidR="002C22AA">
        <w:t xml:space="preserve"> </w:t>
      </w:r>
      <w:r w:rsidR="00F17FFD">
        <w:t xml:space="preserve">which is </w:t>
      </w:r>
      <w:r w:rsidR="002C22AA">
        <w:t xml:space="preserve">under Commission jurisdiction as provided </w:t>
      </w:r>
      <w:r w:rsidR="00C82594">
        <w:t>under</w:t>
      </w:r>
      <w:r w:rsidR="002C22AA">
        <w:t xml:space="preserve"> Section 366.04(6)</w:t>
      </w:r>
      <w:r w:rsidR="00C82594">
        <w:t>,</w:t>
      </w:r>
      <w:r w:rsidR="002C22AA">
        <w:t xml:space="preserve"> F.S.</w:t>
      </w:r>
      <w:r w:rsidR="00F17FFD">
        <w:t xml:space="preserve"> </w:t>
      </w:r>
      <w:r w:rsidR="002C22AA">
        <w:t xml:space="preserve">Staff believes that the </w:t>
      </w:r>
      <w:r w:rsidR="00C72364">
        <w:t xml:space="preserve">factual </w:t>
      </w:r>
      <w:r w:rsidR="002C22AA">
        <w:t xml:space="preserve">allegations contained in Mr. Gage’s complaint </w:t>
      </w:r>
      <w:r w:rsidR="00C72364">
        <w:t>are suffic</w:t>
      </w:r>
      <w:r w:rsidR="00C82594">
        <w:t>i</w:t>
      </w:r>
      <w:r w:rsidR="00C72364">
        <w:t>ently clear to show which of DEF’s actions Mr. Gage believes violated C</w:t>
      </w:r>
      <w:r w:rsidR="00EB1294">
        <w:t>ommission rules.</w:t>
      </w:r>
      <w:r w:rsidR="00EB1294" w:rsidRPr="00EB1294">
        <w:t xml:space="preserve"> </w:t>
      </w:r>
      <w:r w:rsidR="00EB1294">
        <w:t>The complaint and accompanying photographs show how Mr. Gage believes the PME-4 was out of compliance with the NESC.</w:t>
      </w:r>
      <w:r w:rsidR="00C72364">
        <w:t xml:space="preserve"> </w:t>
      </w:r>
      <w:r w:rsidR="00692200">
        <w:t xml:space="preserve"> </w:t>
      </w:r>
      <w:r w:rsidR="00EB1294">
        <w:t>Mr. Gage alleges insuffic</w:t>
      </w:r>
      <w:r w:rsidR="00C82594">
        <w:t>i</w:t>
      </w:r>
      <w:r w:rsidR="00EB1294">
        <w:t>ent clearance for the PME-4’s door and improper safety l</w:t>
      </w:r>
      <w:r w:rsidR="00FB32D1">
        <w:t xml:space="preserve">abelling. </w:t>
      </w:r>
    </w:p>
    <w:p w14:paraId="7955394B" w14:textId="14DDEE84" w:rsidR="002C22AA" w:rsidRPr="00485961" w:rsidRDefault="00C72364" w:rsidP="00485961">
      <w:pPr>
        <w:pStyle w:val="BodyText"/>
      </w:pPr>
      <w:r>
        <w:t xml:space="preserve">Staff believes that these allegations relate to DEF’s compliance with Commission safety standards and that the facts and documentation in the docket </w:t>
      </w:r>
      <w:r w:rsidR="00C82594">
        <w:t xml:space="preserve">sufficiently state a cause of action </w:t>
      </w:r>
      <w:r>
        <w:t>for the Commission to make a determination on</w:t>
      </w:r>
      <w:r w:rsidR="00F17FFD">
        <w:t xml:space="preserve"> the</w:t>
      </w:r>
      <w:r>
        <w:t xml:space="preserve"> </w:t>
      </w:r>
      <w:r w:rsidR="00F17FFD">
        <w:t xml:space="preserve">formal complaint, as discussed in Issue 2. Therefore, </w:t>
      </w:r>
      <w:r w:rsidR="00C82594">
        <w:t>s</w:t>
      </w:r>
      <w:r w:rsidR="00F17FFD">
        <w:t xml:space="preserve">taff recommends that DEF’s Motion to Dismiss should be denied. </w:t>
      </w:r>
      <w:r>
        <w:t xml:space="preserve">  </w:t>
      </w:r>
    </w:p>
    <w:p w14:paraId="238EFD24" w14:textId="1A52B857" w:rsidR="00987868" w:rsidRDefault="00987868">
      <w:pPr>
        <w:pStyle w:val="IssueHeading"/>
        <w:rPr>
          <w:vanish/>
          <w:specVanish/>
        </w:rPr>
      </w:pPr>
      <w:r w:rsidRPr="004C3641">
        <w:rPr>
          <w:b w:val="0"/>
          <w:i w:val="0"/>
        </w:rPr>
        <w:br w:type="page"/>
      </w:r>
      <w:r w:rsidRPr="004C3641">
        <w:t xml:space="preserve">Issue </w:t>
      </w:r>
      <w:r w:rsidR="00D4321D">
        <w:fldChar w:fldCharType="begin"/>
      </w:r>
      <w:r w:rsidR="00D4321D">
        <w:instrText xml:space="preserve"> SEQ Issue \* MERGEFORMAT </w:instrText>
      </w:r>
      <w:r w:rsidR="00D4321D">
        <w:fldChar w:fldCharType="separate"/>
      </w:r>
      <w:r w:rsidR="00D4321D">
        <w:rPr>
          <w:noProof/>
        </w:rPr>
        <w:t>2</w:t>
      </w:r>
      <w:r w:rsidR="00D4321D">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D4321D">
        <w:rPr>
          <w:noProof/>
        </w:rPr>
        <w:instrText>2</w:instrText>
      </w:r>
      <w:r>
        <w:fldChar w:fldCharType="end"/>
      </w:r>
      <w:r>
        <w:tab/>
        <w:instrText xml:space="preserve">" \l 1 </w:instrText>
      </w:r>
      <w:r>
        <w:fldChar w:fldCharType="end"/>
      </w:r>
      <w:r>
        <w:t> </w:t>
      </w:r>
    </w:p>
    <w:p w14:paraId="3F92200D" w14:textId="448C9EE6" w:rsidR="00987868" w:rsidRDefault="00987868">
      <w:pPr>
        <w:pStyle w:val="BodyText"/>
      </w:pPr>
      <w:r>
        <w:t> </w:t>
      </w:r>
      <w:r w:rsidR="001C787F">
        <w:t>What is the ap</w:t>
      </w:r>
      <w:r w:rsidR="00D309F8">
        <w:t>propriate disposition of Mr. Gag</w:t>
      </w:r>
      <w:r w:rsidR="001C787F">
        <w:t>e</w:t>
      </w:r>
      <w:r w:rsidR="00BD7EE6">
        <w:t>’</w:t>
      </w:r>
      <w:r w:rsidR="001C787F">
        <w:t>s complaint?</w:t>
      </w:r>
    </w:p>
    <w:p w14:paraId="63E4619F" w14:textId="77777777" w:rsidR="00987868" w:rsidRPr="004C3641" w:rsidRDefault="00987868">
      <w:pPr>
        <w:pStyle w:val="IssueSubsectionHeading"/>
        <w:rPr>
          <w:vanish/>
          <w:specVanish/>
        </w:rPr>
      </w:pPr>
      <w:r w:rsidRPr="004C3641">
        <w:t>Recommendation: </w:t>
      </w:r>
    </w:p>
    <w:p w14:paraId="4B81F4DE" w14:textId="2F293FDE" w:rsidR="00987868" w:rsidRDefault="00987868">
      <w:pPr>
        <w:pStyle w:val="BodyText"/>
      </w:pPr>
      <w:r>
        <w:t> </w:t>
      </w:r>
      <w:r w:rsidR="009D4FE8" w:rsidRPr="009D4FE8">
        <w:t>Staff recommends that Mr. Gage’s formal complaint should be denied. It does not appear that DEF violated its Commission-approved tariff or any statutes, rules, or orders of the Commission in the condition or maintenance</w:t>
      </w:r>
      <w:r w:rsidR="009D4FE8">
        <w:t xml:space="preserve"> </w:t>
      </w:r>
      <w:r w:rsidR="009D4FE8" w:rsidRPr="009D4FE8">
        <w:t>of the PME-4 unit.</w:t>
      </w:r>
      <w:r>
        <w:t xml:space="preserve"> </w:t>
      </w:r>
      <w:r w:rsidR="00C82594">
        <w:t>(Newman, Crawford)</w:t>
      </w:r>
    </w:p>
    <w:p w14:paraId="179E1CD0" w14:textId="77777777" w:rsidR="00987868" w:rsidRPr="004C3641" w:rsidRDefault="00987868">
      <w:pPr>
        <w:pStyle w:val="IssueSubsectionHeading"/>
        <w:rPr>
          <w:vanish/>
          <w:specVanish/>
        </w:rPr>
      </w:pPr>
      <w:r w:rsidRPr="004C3641">
        <w:t>Staff Analysis: </w:t>
      </w:r>
    </w:p>
    <w:p w14:paraId="27C40C64" w14:textId="53366A94" w:rsidR="00987868" w:rsidRDefault="00987868" w:rsidP="008C5457">
      <w:pPr>
        <w:pStyle w:val="BodyText"/>
      </w:pPr>
      <w:r>
        <w:t> </w:t>
      </w:r>
      <w:r w:rsidR="008C5457">
        <w:t xml:space="preserve">Pursuant to Rule 25-22.036(2), F.A.C., a </w:t>
      </w:r>
      <w:r w:rsidR="00D17077">
        <w:t xml:space="preserve">complaint is appropriate when a </w:t>
      </w:r>
      <w:r w:rsidR="008C5457">
        <w:t xml:space="preserve">person complains of an act or omission by a person subject </w:t>
      </w:r>
      <w:r w:rsidR="00D17077">
        <w:t xml:space="preserve">to Commission jurisdiction that </w:t>
      </w:r>
      <w:r w:rsidR="008C5457">
        <w:t>affects the complainant’s substantial interests and that is in violati</w:t>
      </w:r>
      <w:r w:rsidR="00D17077">
        <w:t xml:space="preserve">on of a statute enforced by the </w:t>
      </w:r>
      <w:r w:rsidR="008C5457">
        <w:t>Commission, or of any Commission rule or order.</w:t>
      </w:r>
      <w:r w:rsidR="00D17077">
        <w:t xml:space="preserve"> As discussed below, Mr. G</w:t>
      </w:r>
      <w:r w:rsidR="00D309F8">
        <w:t>ag</w:t>
      </w:r>
      <w:r w:rsidR="00D17077">
        <w:t xml:space="preserve">e’s petition fails to show that DEF violated any rules, statutes, orders, or its tariff in the </w:t>
      </w:r>
      <w:r w:rsidR="00FB32D1">
        <w:t xml:space="preserve">condition or </w:t>
      </w:r>
      <w:r w:rsidR="009D4FE8" w:rsidRPr="009D4FE8">
        <w:t>maintenance</w:t>
      </w:r>
      <w:r w:rsidR="00D17077">
        <w:t xml:space="preserve"> of the PME-4 unit. </w:t>
      </w:r>
    </w:p>
    <w:p w14:paraId="105E6A06" w14:textId="7821027A" w:rsidR="00D17077" w:rsidRDefault="00D17077" w:rsidP="008C5457">
      <w:pPr>
        <w:pStyle w:val="BodyText"/>
      </w:pPr>
      <w:r>
        <w:rPr>
          <w:u w:val="single"/>
        </w:rPr>
        <w:t>Formal Complaint</w:t>
      </w:r>
    </w:p>
    <w:p w14:paraId="0897F786" w14:textId="6409A3BC" w:rsidR="001F5F43" w:rsidRDefault="00DF0522" w:rsidP="008C5457">
      <w:pPr>
        <w:pStyle w:val="BodyText"/>
      </w:pPr>
      <w:r w:rsidRPr="00DF0522">
        <w:t xml:space="preserve">Mr. Gage’s formal complaint </w:t>
      </w:r>
      <w:r>
        <w:t>states that DEF violated three r</w:t>
      </w:r>
      <w:r w:rsidRPr="00DF0522">
        <w:t xml:space="preserve">ules: </w:t>
      </w:r>
      <w:r>
        <w:t>Rule</w:t>
      </w:r>
      <w:r w:rsidRPr="00DF0522">
        <w:t xml:space="preserve"> 25-6.0345</w:t>
      </w:r>
      <w:r>
        <w:t>, F.A.C.</w:t>
      </w:r>
      <w:r w:rsidRPr="00DF0522">
        <w:t xml:space="preserve">, which adopts the 2023 NESC as the applicable safety standards for transmission and distribution facilities; </w:t>
      </w:r>
      <w:r>
        <w:t>Rule</w:t>
      </w:r>
      <w:r w:rsidRPr="00DF0522">
        <w:t xml:space="preserve"> 25-6.039</w:t>
      </w:r>
      <w:r>
        <w:t>, F.A.C.</w:t>
      </w:r>
      <w:r w:rsidRPr="00DF0522">
        <w:t>, which requires utilit</w:t>
      </w:r>
      <w:r w:rsidR="00C82594">
        <w:t>i</w:t>
      </w:r>
      <w:r w:rsidRPr="00DF0522">
        <w:t>es to establish safe work practices; and Rule 25-6.0346,</w:t>
      </w:r>
      <w:r>
        <w:t xml:space="preserve"> F.A.C.,</w:t>
      </w:r>
      <w:r w:rsidRPr="00DF0522">
        <w:t xml:space="preserve"> which requires utilities to submit quarterly reports certifying work order compliance with all applicable </w:t>
      </w:r>
      <w:r w:rsidR="00C82594">
        <w:t xml:space="preserve">safety </w:t>
      </w:r>
      <w:r w:rsidRPr="00DF0522">
        <w:t xml:space="preserve">standards. </w:t>
      </w:r>
      <w:r>
        <w:t xml:space="preserve">Mr. Gage alleges </w:t>
      </w:r>
      <w:r w:rsidR="00D17077">
        <w:t>the PME-4 unit was not in compliance with the NESC in three ways: the unit lacked the proper safety stickers, the base was improperly sealed, and the door had insuffic</w:t>
      </w:r>
      <w:r w:rsidR="00C82594">
        <w:t>i</w:t>
      </w:r>
      <w:r w:rsidR="00D17077">
        <w:t xml:space="preserve">ent clearance. </w:t>
      </w:r>
      <w:r w:rsidR="005157F5">
        <w:t>Mr. Ga</w:t>
      </w:r>
      <w:r w:rsidR="00D309F8">
        <w:t>g</w:t>
      </w:r>
      <w:r w:rsidR="005157F5">
        <w:t>e claims that DEF was aware of the noncompliance on September 4</w:t>
      </w:r>
      <w:r w:rsidR="00D56432">
        <w:t>, 2025,</w:t>
      </w:r>
      <w:r w:rsidR="005157F5">
        <w:t xml:space="preserve"> but denied the fact to the Commission and refused to bring the unit into compliance. </w:t>
      </w:r>
      <w:r w:rsidR="00743682">
        <w:t>Mr. G</w:t>
      </w:r>
      <w:r w:rsidR="00D309F8">
        <w:t>ag</w:t>
      </w:r>
      <w:r w:rsidR="00BD7EE6">
        <w:t>e</w:t>
      </w:r>
      <w:r w:rsidR="00743682">
        <w:t xml:space="preserve"> states the PME-4 was noncompliant from September 2025 to December 2025, at which point DEF brought the unit into compliance</w:t>
      </w:r>
      <w:r w:rsidR="00D55429">
        <w:t xml:space="preserve"> under pressure from OSHA</w:t>
      </w:r>
      <w:r w:rsidR="00743682">
        <w:t xml:space="preserve">. </w:t>
      </w:r>
      <w:r w:rsidR="001F5F43">
        <w:t xml:space="preserve">Mr. Gage further </w:t>
      </w:r>
      <w:r w:rsidR="00D21C97">
        <w:t xml:space="preserve">states that Commission staff failed to properly review his complaint.  </w:t>
      </w:r>
    </w:p>
    <w:p w14:paraId="4A4C1D3D" w14:textId="6EF0A2AE" w:rsidR="00D55429" w:rsidRDefault="00D55429" w:rsidP="008C5457">
      <w:pPr>
        <w:pStyle w:val="BodyText"/>
      </w:pPr>
      <w:r>
        <w:rPr>
          <w:u w:val="single"/>
        </w:rPr>
        <w:t>Analysis</w:t>
      </w:r>
    </w:p>
    <w:p w14:paraId="71A8FB94" w14:textId="39B45528" w:rsidR="00953C0D" w:rsidRDefault="00323BA1" w:rsidP="008C5457">
      <w:pPr>
        <w:pStyle w:val="BodyText"/>
      </w:pPr>
      <w:r>
        <w:t>Based on the information provided, it does not appear that DEF violated a statute, rule, order, or applicable provision of DEF’s Commission-approved tariff. Section 25-6.0345</w:t>
      </w:r>
      <w:r w:rsidR="00C82594">
        <w:t>,</w:t>
      </w:r>
      <w:r>
        <w:t xml:space="preserve"> F.A.C.</w:t>
      </w:r>
      <w:r w:rsidR="00C82594">
        <w:t>,</w:t>
      </w:r>
      <w:r>
        <w:t xml:space="preserve"> states that “[t]he safety standards prescribed by the 2023 National Electrical Safety Code (NESC) C2-2023, are adopted and incorporated by reference into this rule as the applicable safety standards for transmission and distribution facilities subject to the Commission’s jurisdiction.”</w:t>
      </w:r>
      <w:r w:rsidR="00DF0522">
        <w:t xml:space="preserve"> The other </w:t>
      </w:r>
      <w:r w:rsidR="00D56432">
        <w:t xml:space="preserve">potential </w:t>
      </w:r>
      <w:r w:rsidR="00DF0522">
        <w:t>rule violations</w:t>
      </w:r>
      <w:r w:rsidR="00D56432">
        <w:t>, including DEF’s alleged false statements to the Commission,</w:t>
      </w:r>
      <w:r w:rsidR="00DF0522">
        <w:t xml:space="preserve"> depend on finding that DEF violated the NESC. </w:t>
      </w:r>
    </w:p>
    <w:p w14:paraId="39DC2C66" w14:textId="46DD3D68" w:rsidR="00440B37" w:rsidRDefault="00D55429" w:rsidP="008C5457">
      <w:pPr>
        <w:pStyle w:val="BodyText"/>
      </w:pPr>
      <w:r>
        <w:t xml:space="preserve">The PME-4 unit was </w:t>
      </w:r>
      <w:r w:rsidR="00D309F8">
        <w:t>inspected at least three times. First, on September 4,</w:t>
      </w:r>
      <w:r w:rsidR="00C82594">
        <w:t xml:space="preserve"> 2025,</w:t>
      </w:r>
      <w:r w:rsidR="00D309F8">
        <w:t xml:space="preserve"> </w:t>
      </w:r>
      <w:r w:rsidR="00FB4FAE">
        <w:t>a DEF technician responded to Mr. Gage’s report of a loud boom coming from the unit</w:t>
      </w:r>
      <w:r w:rsidR="00BD6EFF">
        <w:t>,</w:t>
      </w:r>
      <w:r w:rsidR="00FB4FAE">
        <w:t xml:space="preserve"> and</w:t>
      </w:r>
      <w:r w:rsidR="00D309F8">
        <w:t xml:space="preserve"> Mr. Gage raised his concerns with the DEF technician. At that time, the technician examined the unit, logged Mr. Gage’s complaints, and placed a new safety sticker on the </w:t>
      </w:r>
      <w:r w:rsidR="009A31C7">
        <w:t>unit</w:t>
      </w:r>
      <w:r w:rsidR="00D309F8">
        <w:t>.</w:t>
      </w:r>
      <w:r w:rsidR="00FB4644">
        <w:rPr>
          <w:rStyle w:val="FootnoteReference"/>
        </w:rPr>
        <w:footnoteReference w:id="3"/>
      </w:r>
      <w:r w:rsidR="00D309F8">
        <w:t xml:space="preserve"> </w:t>
      </w:r>
      <w:r w:rsidR="00C416F7">
        <w:t xml:space="preserve">DEF’s investigation at that time found no NESC violations; in particular, </w:t>
      </w:r>
      <w:r w:rsidR="00BD6EFF">
        <w:t>it</w:t>
      </w:r>
      <w:r w:rsidR="00FB4FAE">
        <w:t xml:space="preserve"> found that the </w:t>
      </w:r>
      <w:r w:rsidR="009A31C7">
        <w:t>unit</w:t>
      </w:r>
      <w:r w:rsidR="00FB4FAE">
        <w:t xml:space="preserve"> was properly sealed and that the unit could be safely accessed. Second, on November 25</w:t>
      </w:r>
      <w:r w:rsidR="00BD6EFF">
        <w:t>, 2025</w:t>
      </w:r>
      <w:r w:rsidR="00FB4FAE">
        <w:t xml:space="preserve">, </w:t>
      </w:r>
      <w:r w:rsidR="00FB4FAE" w:rsidRPr="00FB4FAE">
        <w:t>a DEF Supervisor and Safety Professional</w:t>
      </w:r>
      <w:r w:rsidR="00FB4FAE">
        <w:t xml:space="preserve"> inspected the PME-4 and found no NESC or OSHA violations. At that time DEF put new safety stickers on the unit and notified the HOA that the bushes near the unit were being removed “</w:t>
      </w:r>
      <w:r w:rsidR="00FB4FAE" w:rsidRPr="00FB4FAE">
        <w:t>to satisfy Mr. Gage’s complaint.</w:t>
      </w:r>
      <w:r w:rsidR="00FB4FAE">
        <w:t xml:space="preserve">” Third, on January 6, </w:t>
      </w:r>
      <w:r w:rsidR="00440B37">
        <w:t xml:space="preserve">2026, Commission staff inspected the unit and found that it was in good condition and well maintained. Commission staff found no </w:t>
      </w:r>
      <w:r w:rsidR="00DF0522">
        <w:t xml:space="preserve">NESC </w:t>
      </w:r>
      <w:r w:rsidR="00440B37">
        <w:t>violations.</w:t>
      </w:r>
    </w:p>
    <w:p w14:paraId="695C1321" w14:textId="74A42CCD" w:rsidR="00A84BEC" w:rsidRDefault="00440B37" w:rsidP="00D21C97">
      <w:pPr>
        <w:pStyle w:val="BodyText"/>
      </w:pPr>
      <w:r>
        <w:t xml:space="preserve">Staff </w:t>
      </w:r>
      <w:r w:rsidR="009D4FE8">
        <w:t>does not believe</w:t>
      </w:r>
      <w:r>
        <w:t xml:space="preserve"> </w:t>
      </w:r>
      <w:r w:rsidR="00D21C97">
        <w:t>that DEF violate</w:t>
      </w:r>
      <w:r w:rsidR="009D4FE8">
        <w:t>d</w:t>
      </w:r>
      <w:r w:rsidR="00D21C97">
        <w:t xml:space="preserve"> </w:t>
      </w:r>
      <w:r w:rsidR="009D4FE8">
        <w:t>the NESC</w:t>
      </w:r>
      <w:r w:rsidR="00D21C97">
        <w:t>.</w:t>
      </w:r>
      <w:r w:rsidR="00FB4FAE">
        <w:t xml:space="preserve"> </w:t>
      </w:r>
      <w:r w:rsidR="00D21C97">
        <w:t xml:space="preserve">Multiple inspections by DEF technicians and Commission staff failed to find any violations of the NESC. In his complaint, Mr. Gage fails to identify which provisions of the NESC </w:t>
      </w:r>
      <w:r w:rsidR="0091718E">
        <w:t xml:space="preserve">he believes </w:t>
      </w:r>
      <w:r w:rsidR="00D21C97">
        <w:t xml:space="preserve">were </w:t>
      </w:r>
      <w:r w:rsidR="0091718E">
        <w:t xml:space="preserve">violated. </w:t>
      </w:r>
      <w:r w:rsidR="00692200">
        <w:t xml:space="preserve">DEF put new safety stickers on the unit and removed the nearby bushes to satisfy Mr. Gage; </w:t>
      </w:r>
      <w:r w:rsidR="00BD6EFF">
        <w:t xml:space="preserve">staff believes </w:t>
      </w:r>
      <w:r w:rsidR="00692200">
        <w:t xml:space="preserve">these actions </w:t>
      </w:r>
      <w:r w:rsidR="00BD6EFF">
        <w:t>appear to</w:t>
      </w:r>
      <w:r w:rsidR="00692200">
        <w:t xml:space="preserve"> resolve Mr. Gage’s concerns with the PME-4, as the </w:t>
      </w:r>
      <w:r w:rsidR="00BD6EFF">
        <w:t xml:space="preserve">formal </w:t>
      </w:r>
      <w:r w:rsidR="00692200">
        <w:t xml:space="preserve">complaint </w:t>
      </w:r>
      <w:r w:rsidR="00BD6EFF">
        <w:t>acknowledges</w:t>
      </w:r>
      <w:r w:rsidR="00692200">
        <w:t xml:space="preserve"> the unit was brought into compliance in D</w:t>
      </w:r>
      <w:r w:rsidR="009D4FE8">
        <w:t xml:space="preserve">ecember. </w:t>
      </w:r>
      <w:r w:rsidR="009A31C7">
        <w:t xml:space="preserve">OSHA did not conclude that DEF violated the NESC, merely closing </w:t>
      </w:r>
      <w:r w:rsidR="00BD6EFF">
        <w:t>its</w:t>
      </w:r>
      <w:r w:rsidR="009A31C7">
        <w:t xml:space="preserve"> case after the conditions Mr. Gage complained about were removed. </w:t>
      </w:r>
      <w:r w:rsidR="00A84BEC">
        <w:t xml:space="preserve">Mr. Gage also alleges that Commission staff </w:t>
      </w:r>
      <w:r w:rsidR="0014161E">
        <w:t>improperly</w:t>
      </w:r>
      <w:r w:rsidR="00A84BEC">
        <w:t xml:space="preserve"> </w:t>
      </w:r>
      <w:r w:rsidR="0014161E">
        <w:t>investigated</w:t>
      </w:r>
      <w:r w:rsidR="00A84BEC">
        <w:t xml:space="preserve"> his complaint. Mr. Gage does not explain how Commission staff </w:t>
      </w:r>
      <w:r w:rsidR="00692200">
        <w:t>im</w:t>
      </w:r>
      <w:r w:rsidR="00A84BEC">
        <w:t>properly review</w:t>
      </w:r>
      <w:r w:rsidR="00692200">
        <w:t>ed</w:t>
      </w:r>
      <w:r w:rsidR="00A84BEC">
        <w:t xml:space="preserve"> his complaint</w:t>
      </w:r>
      <w:r w:rsidR="0014161E">
        <w:t xml:space="preserve"> or how Commission staff improperly used </w:t>
      </w:r>
      <w:r w:rsidR="00BD6EFF">
        <w:t>its</w:t>
      </w:r>
      <w:r w:rsidR="0014161E">
        <w:t xml:space="preserve"> discretion</w:t>
      </w:r>
      <w:r w:rsidR="00A84BEC">
        <w:t xml:space="preserve">. </w:t>
      </w:r>
      <w:r w:rsidR="009D4FE8">
        <w:t xml:space="preserve">Staff does not believe that DEF violated a statute, rule, order, or applicable provision of DEF’s Commission-approved tariff in the condition or </w:t>
      </w:r>
      <w:r w:rsidR="009D4FE8" w:rsidRPr="009D4FE8">
        <w:t>maintenance</w:t>
      </w:r>
      <w:r w:rsidR="009D4FE8">
        <w:t xml:space="preserve"> of the PME-4 unit</w:t>
      </w:r>
      <w:r w:rsidR="00BD6EFF">
        <w:t>;</w:t>
      </w:r>
      <w:r w:rsidR="009D4FE8">
        <w:t xml:space="preserve"> therefore</w:t>
      </w:r>
      <w:r w:rsidR="00BD6EFF">
        <w:t>,</w:t>
      </w:r>
      <w:r w:rsidR="009D4FE8">
        <w:t xml:space="preserve"> the complaint should be denied.</w:t>
      </w:r>
    </w:p>
    <w:p w14:paraId="526BE2A6" w14:textId="0115C279" w:rsidR="009D4FE8" w:rsidRDefault="009D4FE8" w:rsidP="00D21C97">
      <w:pPr>
        <w:pStyle w:val="BodyText"/>
      </w:pPr>
      <w:r>
        <w:rPr>
          <w:u w:val="single"/>
        </w:rPr>
        <w:t>Conclusion</w:t>
      </w:r>
    </w:p>
    <w:p w14:paraId="3AD25055" w14:textId="3DACD24F" w:rsidR="009D4FE8" w:rsidRPr="009D4FE8" w:rsidRDefault="009D4FE8" w:rsidP="00D21C97">
      <w:pPr>
        <w:pStyle w:val="BodyText"/>
      </w:pPr>
      <w:r>
        <w:t xml:space="preserve">Staff recommends that Mr. Gage’s formal complaint should be denied. It does not appear that DEF violated its Commission-approved tariff or any statutes, rules, or orders of the Commission in the condition or </w:t>
      </w:r>
      <w:r w:rsidRPr="009D4FE8">
        <w:t>maintenance</w:t>
      </w:r>
      <w:r>
        <w:t xml:space="preserve"> of the PME-4 unit.</w:t>
      </w:r>
    </w:p>
    <w:p w14:paraId="0DEB5AC2" w14:textId="2046F74E" w:rsidR="00987868" w:rsidRDefault="00987868">
      <w:pPr>
        <w:pStyle w:val="IssueHeading"/>
        <w:rPr>
          <w:vanish/>
          <w:specVanish/>
        </w:rPr>
      </w:pPr>
      <w:r w:rsidRPr="004C3641">
        <w:rPr>
          <w:b w:val="0"/>
          <w:i w:val="0"/>
        </w:rPr>
        <w:br w:type="page"/>
      </w:r>
      <w:r w:rsidRPr="004C3641">
        <w:t xml:space="preserve">Issue </w:t>
      </w:r>
      <w:r w:rsidR="00D4321D">
        <w:fldChar w:fldCharType="begin"/>
      </w:r>
      <w:r w:rsidR="00D4321D">
        <w:instrText xml:space="preserve"> SEQ Issue \* MERGEFORMAT </w:instrText>
      </w:r>
      <w:r w:rsidR="00D4321D">
        <w:fldChar w:fldCharType="separate"/>
      </w:r>
      <w:r w:rsidR="00D4321D">
        <w:rPr>
          <w:noProof/>
        </w:rPr>
        <w:t>3</w:t>
      </w:r>
      <w:r w:rsidR="00D4321D">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D4321D">
        <w:rPr>
          <w:noProof/>
        </w:rPr>
        <w:instrText>3</w:instrText>
      </w:r>
      <w:r>
        <w:fldChar w:fldCharType="end"/>
      </w:r>
      <w:r>
        <w:tab/>
        <w:instrText xml:space="preserve">" \l 1 </w:instrText>
      </w:r>
      <w:r>
        <w:fldChar w:fldCharType="end"/>
      </w:r>
      <w:r>
        <w:t> </w:t>
      </w:r>
    </w:p>
    <w:p w14:paraId="19058032" w14:textId="64DD66E0" w:rsidR="00987868" w:rsidRDefault="00987868">
      <w:pPr>
        <w:pStyle w:val="BodyText"/>
      </w:pPr>
      <w:r>
        <w:t> Should this docket be closed?</w:t>
      </w:r>
    </w:p>
    <w:p w14:paraId="0313CF17" w14:textId="77777777" w:rsidR="00987868" w:rsidRPr="004C3641" w:rsidRDefault="00987868">
      <w:pPr>
        <w:pStyle w:val="IssueSubsectionHeading"/>
        <w:rPr>
          <w:vanish/>
          <w:specVanish/>
        </w:rPr>
      </w:pPr>
      <w:r w:rsidRPr="004C3641">
        <w:t>Recommendation: </w:t>
      </w:r>
    </w:p>
    <w:p w14:paraId="29FC5F6D" w14:textId="638E9ECA" w:rsidR="00987868" w:rsidRDefault="00987868">
      <w:pPr>
        <w:pStyle w:val="BodyText"/>
      </w:pPr>
      <w:r>
        <w:t> </w:t>
      </w:r>
      <w:r w:rsidR="00273F92">
        <w:t>If no person whose substantial interests are affected by the proposed agency action files a protest within 21 days of the issuance of the order, this docket should be c</w:t>
      </w:r>
      <w:r w:rsidR="003630A1">
        <w:t>losed upon the issuance of a con</w:t>
      </w:r>
      <w:r w:rsidR="00273F92">
        <w:t>summating order.</w:t>
      </w:r>
      <w:r>
        <w:t xml:space="preserve"> </w:t>
      </w:r>
      <w:r w:rsidR="00BD6EFF">
        <w:t>(Newman, Crawford)</w:t>
      </w:r>
    </w:p>
    <w:p w14:paraId="72AB0A7E" w14:textId="77777777" w:rsidR="00987868" w:rsidRPr="004C3641" w:rsidRDefault="00987868">
      <w:pPr>
        <w:pStyle w:val="IssueSubsectionHeading"/>
        <w:rPr>
          <w:vanish/>
          <w:specVanish/>
        </w:rPr>
      </w:pPr>
      <w:r w:rsidRPr="004C3641">
        <w:t>Staff Analysis: </w:t>
      </w:r>
    </w:p>
    <w:p w14:paraId="26BE69E7" w14:textId="0023DBDC" w:rsidR="00987868" w:rsidRDefault="00987868">
      <w:pPr>
        <w:pStyle w:val="BodyText"/>
      </w:pPr>
      <w:r>
        <w:t> </w:t>
      </w:r>
      <w:r w:rsidR="00273F92" w:rsidRPr="00273F92">
        <w:t>If no person whose substantial interests are affected by the proposed agency action files a protest within 21 days of the issuance of the order, this docket should be c</w:t>
      </w:r>
      <w:r w:rsidR="003630A1">
        <w:t>losed upon the issuance of a con</w:t>
      </w:r>
      <w:r w:rsidR="00273F92" w:rsidRPr="00273F92">
        <w:t>summating order.</w:t>
      </w:r>
    </w:p>
    <w:p w14:paraId="2869B46F" w14:textId="77777777"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A8437" w14:textId="77777777" w:rsidR="00987868" w:rsidRDefault="00987868">
      <w:r>
        <w:separator/>
      </w:r>
    </w:p>
  </w:endnote>
  <w:endnote w:type="continuationSeparator" w:id="0">
    <w:p w14:paraId="4BD3FD82" w14:textId="77777777" w:rsidR="00987868" w:rsidRDefault="009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082" w14:textId="77777777" w:rsidR="00D4321D" w:rsidRDefault="00D432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D443C" w14:textId="2048EA72"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B9127C">
      <w:rPr>
        <w:rStyle w:val="PageNumber"/>
        <w:noProof/>
      </w:rPr>
      <w:t>7</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477D" w14:textId="77777777" w:rsidR="00D4321D" w:rsidRDefault="00D432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A8FC5"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07DB6" w14:textId="77777777" w:rsidR="00987868" w:rsidRDefault="00987868">
      <w:r>
        <w:separator/>
      </w:r>
    </w:p>
  </w:footnote>
  <w:footnote w:type="continuationSeparator" w:id="0">
    <w:p w14:paraId="040D7870" w14:textId="77777777" w:rsidR="00987868" w:rsidRDefault="00987868">
      <w:r>
        <w:continuationSeparator/>
      </w:r>
    </w:p>
  </w:footnote>
  <w:footnote w:id="1">
    <w:p w14:paraId="5D1A0CB7" w14:textId="69560643" w:rsidR="00C82594" w:rsidRDefault="00C82594">
      <w:pPr>
        <w:pStyle w:val="FootnoteText"/>
      </w:pPr>
      <w:r>
        <w:rPr>
          <w:rStyle w:val="FootnoteReference"/>
        </w:rPr>
        <w:footnoteRef/>
      </w:r>
      <w:r>
        <w:t xml:space="preserve"> A switchgear is composed of electrical disconnect switches, fuses, or circuit breakers used to control, protect, and isolate electrical equipment.</w:t>
      </w:r>
    </w:p>
  </w:footnote>
  <w:footnote w:id="2">
    <w:p w14:paraId="76C8518A" w14:textId="7EB55553" w:rsidR="00C82594" w:rsidRDefault="00C82594">
      <w:pPr>
        <w:pStyle w:val="FootnoteText"/>
      </w:pPr>
      <w:r>
        <w:rPr>
          <w:rStyle w:val="FootnoteReference"/>
        </w:rPr>
        <w:footnoteRef/>
      </w:r>
      <w:r>
        <w:t xml:space="preserve"> Mr. Gage’s OSHA complaint and the referenced photographs are attached to his formal complaint, Document No. 01812-2026, filed March 27, 2026, in Docket No. 20260045-EI.</w:t>
      </w:r>
    </w:p>
  </w:footnote>
  <w:footnote w:id="3">
    <w:p w14:paraId="3089A06A" w14:textId="25E3589C" w:rsidR="00FB4644" w:rsidRDefault="00FB4644">
      <w:pPr>
        <w:pStyle w:val="FootnoteText"/>
      </w:pPr>
      <w:r>
        <w:rPr>
          <w:rStyle w:val="FootnoteReference"/>
        </w:rPr>
        <w:footnoteRef/>
      </w:r>
      <w:r>
        <w:t xml:space="preserve"> </w:t>
      </w:r>
      <w:r w:rsidRPr="00FB4644">
        <w:t>NESC Rule 381G requires that a prominent and appropriate safety sign should be visible when the first door or barrier is opened or removed.  National Electrical Safety Code, IEEE Std C2-2023 (New York: IEEE, 2023), Rule 381G.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C502" w14:textId="77777777" w:rsidR="00D4321D" w:rsidRDefault="00D432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AC6E2" w14:textId="533C2D9E" w:rsidR="00BC402E" w:rsidRDefault="00987868"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20260045-EI</w:t>
    </w:r>
    <w:bookmarkEnd w:id="14"/>
  </w:p>
  <w:p w14:paraId="6B1C7CBA" w14:textId="661166F5" w:rsidR="00BC402E" w:rsidRDefault="00BC402E">
    <w:pPr>
      <w:pStyle w:val="Header"/>
    </w:pPr>
    <w:r>
      <w:t xml:space="preserve">Date: </w:t>
    </w:r>
    <w:r w:rsidR="000876F6">
      <w:fldChar w:fldCharType="begin"/>
    </w:r>
    <w:r w:rsidR="000876F6">
      <w:instrText xml:space="preserve"> REF FilingDate </w:instrText>
    </w:r>
    <w:r w:rsidR="000876F6">
      <w:fldChar w:fldCharType="separate"/>
    </w:r>
    <w:r w:rsidR="00D4321D">
      <w:t>June 24, 2026</w:t>
    </w:r>
    <w:r w:rsidR="000876F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9FE3" w14:textId="77777777" w:rsidR="00D4321D" w:rsidRDefault="00D432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0A81" w14:textId="133B11DC"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D4321D">
      <w:t>Docket No.</w:t>
    </w:r>
    <w:r>
      <w:fldChar w:fldCharType="end"/>
    </w:r>
    <w:r>
      <w:t xml:space="preserve"> </w:t>
    </w:r>
    <w:r>
      <w:fldChar w:fldCharType="begin"/>
    </w:r>
    <w:r>
      <w:instrText xml:space="preserve"> REF DocketList</w:instrText>
    </w:r>
    <w:r>
      <w:fldChar w:fldCharType="separate"/>
    </w:r>
    <w:r w:rsidR="00D4321D">
      <w:t>20260045-EI</w:t>
    </w:r>
    <w:r>
      <w:fldChar w:fldCharType="end"/>
    </w:r>
    <w:r>
      <w:tab/>
      <w:t xml:space="preserve">Issue </w:t>
    </w:r>
    <w:r w:rsidR="000876F6">
      <w:fldChar w:fldCharType="begin"/>
    </w:r>
    <w:r w:rsidR="000876F6">
      <w:instrText xml:space="preserve"> Seq Issue \c \* Arabic </w:instrText>
    </w:r>
    <w:r w:rsidR="000876F6">
      <w:fldChar w:fldCharType="separate"/>
    </w:r>
    <w:r w:rsidR="00D4321D">
      <w:rPr>
        <w:noProof/>
      </w:rPr>
      <w:t>0</w:t>
    </w:r>
    <w:r w:rsidR="000876F6">
      <w:rPr>
        <w:noProof/>
      </w:rPr>
      <w:fldChar w:fldCharType="end"/>
    </w:r>
  </w:p>
  <w:p w14:paraId="7FD8D292" w14:textId="21093D0F" w:rsidR="00BC402E" w:rsidRDefault="00BC402E">
    <w:pPr>
      <w:pStyle w:val="Header"/>
    </w:pPr>
    <w:r>
      <w:t xml:space="preserve">Date: </w:t>
    </w:r>
    <w:r w:rsidR="000876F6">
      <w:fldChar w:fldCharType="begin"/>
    </w:r>
    <w:r w:rsidR="000876F6">
      <w:instrText xml:space="preserve"> REF FilingDate </w:instrText>
    </w:r>
    <w:r w:rsidR="000876F6">
      <w:fldChar w:fldCharType="separate"/>
    </w:r>
    <w:r w:rsidR="00D4321D">
      <w:t>June 24, 2026</w:t>
    </w:r>
    <w:r w:rsidR="000876F6">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1A58B"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9FA0E75"/>
    <w:multiLevelType w:val="hybridMultilevel"/>
    <w:tmpl w:val="4300D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0826104">
    <w:abstractNumId w:val="9"/>
  </w:num>
  <w:num w:numId="2" w16cid:durableId="1736008705">
    <w:abstractNumId w:val="7"/>
  </w:num>
  <w:num w:numId="3" w16cid:durableId="768818335">
    <w:abstractNumId w:val="6"/>
  </w:num>
  <w:num w:numId="4" w16cid:durableId="636835398">
    <w:abstractNumId w:val="5"/>
  </w:num>
  <w:num w:numId="5" w16cid:durableId="602151093">
    <w:abstractNumId w:val="4"/>
  </w:num>
  <w:num w:numId="6" w16cid:durableId="589973099">
    <w:abstractNumId w:val="8"/>
  </w:num>
  <w:num w:numId="7" w16cid:durableId="1621303496">
    <w:abstractNumId w:val="3"/>
  </w:num>
  <w:num w:numId="8" w16cid:durableId="272784732">
    <w:abstractNumId w:val="2"/>
  </w:num>
  <w:num w:numId="9" w16cid:durableId="1779639634">
    <w:abstractNumId w:val="1"/>
  </w:num>
  <w:num w:numId="10" w16cid:durableId="2055619013">
    <w:abstractNumId w:val="0"/>
  </w:num>
  <w:num w:numId="11" w16cid:durableId="9910611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987868"/>
    <w:rsid w:val="000042DA"/>
    <w:rsid w:val="000043D5"/>
    <w:rsid w:val="00006170"/>
    <w:rsid w:val="00010E37"/>
    <w:rsid w:val="00016C7B"/>
    <w:rsid w:val="000172DA"/>
    <w:rsid w:val="00022008"/>
    <w:rsid w:val="00022337"/>
    <w:rsid w:val="00023A0E"/>
    <w:rsid w:val="000247C5"/>
    <w:rsid w:val="00026A10"/>
    <w:rsid w:val="000277C2"/>
    <w:rsid w:val="00034BB3"/>
    <w:rsid w:val="00035B48"/>
    <w:rsid w:val="00036CE2"/>
    <w:rsid w:val="000421EA"/>
    <w:rsid w:val="000437FE"/>
    <w:rsid w:val="000513BE"/>
    <w:rsid w:val="00051573"/>
    <w:rsid w:val="00053174"/>
    <w:rsid w:val="0005451B"/>
    <w:rsid w:val="000572C5"/>
    <w:rsid w:val="00057F8E"/>
    <w:rsid w:val="0006521E"/>
    <w:rsid w:val="00065A06"/>
    <w:rsid w:val="000662C7"/>
    <w:rsid w:val="000666F3"/>
    <w:rsid w:val="00066C79"/>
    <w:rsid w:val="00070DCB"/>
    <w:rsid w:val="000722B0"/>
    <w:rsid w:val="00072CCA"/>
    <w:rsid w:val="00073120"/>
    <w:rsid w:val="000764D0"/>
    <w:rsid w:val="000828D3"/>
    <w:rsid w:val="000858F5"/>
    <w:rsid w:val="000876F6"/>
    <w:rsid w:val="00087A0E"/>
    <w:rsid w:val="00090DB4"/>
    <w:rsid w:val="0009114A"/>
    <w:rsid w:val="00097804"/>
    <w:rsid w:val="000A2B57"/>
    <w:rsid w:val="000A418B"/>
    <w:rsid w:val="000A44A5"/>
    <w:rsid w:val="000B0ACE"/>
    <w:rsid w:val="000B0DE9"/>
    <w:rsid w:val="000B47C8"/>
    <w:rsid w:val="000C34E6"/>
    <w:rsid w:val="000C4431"/>
    <w:rsid w:val="000C5435"/>
    <w:rsid w:val="000C6607"/>
    <w:rsid w:val="000C6975"/>
    <w:rsid w:val="000C78A6"/>
    <w:rsid w:val="000C7E66"/>
    <w:rsid w:val="000D1C06"/>
    <w:rsid w:val="000D3043"/>
    <w:rsid w:val="000D337D"/>
    <w:rsid w:val="000D4319"/>
    <w:rsid w:val="000D4831"/>
    <w:rsid w:val="000E24FA"/>
    <w:rsid w:val="000E338A"/>
    <w:rsid w:val="000E4392"/>
    <w:rsid w:val="000E620E"/>
    <w:rsid w:val="000F05CD"/>
    <w:rsid w:val="000F1131"/>
    <w:rsid w:val="000F244D"/>
    <w:rsid w:val="000F374A"/>
    <w:rsid w:val="000F4DAF"/>
    <w:rsid w:val="000F53C1"/>
    <w:rsid w:val="00105BA1"/>
    <w:rsid w:val="001066FE"/>
    <w:rsid w:val="001076AF"/>
    <w:rsid w:val="001109F6"/>
    <w:rsid w:val="00116C6B"/>
    <w:rsid w:val="00117C8C"/>
    <w:rsid w:val="00122225"/>
    <w:rsid w:val="001239F0"/>
    <w:rsid w:val="00124C38"/>
    <w:rsid w:val="00124E2E"/>
    <w:rsid w:val="00125ED4"/>
    <w:rsid w:val="00127E1E"/>
    <w:rsid w:val="001303BF"/>
    <w:rsid w:val="001305E9"/>
    <w:rsid w:val="001307AF"/>
    <w:rsid w:val="0013312D"/>
    <w:rsid w:val="0013347E"/>
    <w:rsid w:val="00135687"/>
    <w:rsid w:val="00136BD1"/>
    <w:rsid w:val="00140A2C"/>
    <w:rsid w:val="0014161E"/>
    <w:rsid w:val="00141E8D"/>
    <w:rsid w:val="00146B5D"/>
    <w:rsid w:val="00150ECE"/>
    <w:rsid w:val="0015506E"/>
    <w:rsid w:val="00157CCC"/>
    <w:rsid w:val="00163031"/>
    <w:rsid w:val="001654C4"/>
    <w:rsid w:val="0016701C"/>
    <w:rsid w:val="00171A90"/>
    <w:rsid w:val="00172227"/>
    <w:rsid w:val="001733F8"/>
    <w:rsid w:val="00176D70"/>
    <w:rsid w:val="00180254"/>
    <w:rsid w:val="00186B25"/>
    <w:rsid w:val="00191E1F"/>
    <w:rsid w:val="00191EE8"/>
    <w:rsid w:val="00192943"/>
    <w:rsid w:val="00193BAF"/>
    <w:rsid w:val="00194791"/>
    <w:rsid w:val="00197A5C"/>
    <w:rsid w:val="001A206F"/>
    <w:rsid w:val="001A5CC6"/>
    <w:rsid w:val="001A7406"/>
    <w:rsid w:val="001A7AE4"/>
    <w:rsid w:val="001B1EDC"/>
    <w:rsid w:val="001B4053"/>
    <w:rsid w:val="001B4FEE"/>
    <w:rsid w:val="001B51C5"/>
    <w:rsid w:val="001B672A"/>
    <w:rsid w:val="001B6F3F"/>
    <w:rsid w:val="001C1269"/>
    <w:rsid w:val="001C13F4"/>
    <w:rsid w:val="001C2C42"/>
    <w:rsid w:val="001C52B5"/>
    <w:rsid w:val="001C787F"/>
    <w:rsid w:val="001D0D3E"/>
    <w:rsid w:val="001D2817"/>
    <w:rsid w:val="001D2899"/>
    <w:rsid w:val="001D2C3E"/>
    <w:rsid w:val="001E14A3"/>
    <w:rsid w:val="001E390F"/>
    <w:rsid w:val="001E7FF4"/>
    <w:rsid w:val="001F2245"/>
    <w:rsid w:val="001F2C63"/>
    <w:rsid w:val="001F48C7"/>
    <w:rsid w:val="001F5F43"/>
    <w:rsid w:val="001F6DA1"/>
    <w:rsid w:val="00200178"/>
    <w:rsid w:val="00204200"/>
    <w:rsid w:val="002044E6"/>
    <w:rsid w:val="00205C82"/>
    <w:rsid w:val="00205DC2"/>
    <w:rsid w:val="00205EC1"/>
    <w:rsid w:val="00205F1C"/>
    <w:rsid w:val="00212B17"/>
    <w:rsid w:val="00215417"/>
    <w:rsid w:val="002163B6"/>
    <w:rsid w:val="00217215"/>
    <w:rsid w:val="00220002"/>
    <w:rsid w:val="00220732"/>
    <w:rsid w:val="00221095"/>
    <w:rsid w:val="0022121F"/>
    <w:rsid w:val="00221D32"/>
    <w:rsid w:val="0022219D"/>
    <w:rsid w:val="00222AC1"/>
    <w:rsid w:val="002251CA"/>
    <w:rsid w:val="00225C3F"/>
    <w:rsid w:val="00226ED6"/>
    <w:rsid w:val="00246E5F"/>
    <w:rsid w:val="0025163A"/>
    <w:rsid w:val="00252C6A"/>
    <w:rsid w:val="0025460D"/>
    <w:rsid w:val="002572CB"/>
    <w:rsid w:val="00263D44"/>
    <w:rsid w:val="002702AD"/>
    <w:rsid w:val="00273F92"/>
    <w:rsid w:val="00274114"/>
    <w:rsid w:val="0027502C"/>
    <w:rsid w:val="00276BC8"/>
    <w:rsid w:val="002778C9"/>
    <w:rsid w:val="00281EB4"/>
    <w:rsid w:val="00292D82"/>
    <w:rsid w:val="00293EE7"/>
    <w:rsid w:val="002941AB"/>
    <w:rsid w:val="002963CB"/>
    <w:rsid w:val="00297E23"/>
    <w:rsid w:val="002A1A42"/>
    <w:rsid w:val="002A450F"/>
    <w:rsid w:val="002A5B1E"/>
    <w:rsid w:val="002B2DAC"/>
    <w:rsid w:val="002B3BA8"/>
    <w:rsid w:val="002B4A01"/>
    <w:rsid w:val="002C22AA"/>
    <w:rsid w:val="002C291B"/>
    <w:rsid w:val="002C3C93"/>
    <w:rsid w:val="002C7124"/>
    <w:rsid w:val="002C746A"/>
    <w:rsid w:val="002C7E4E"/>
    <w:rsid w:val="002D226D"/>
    <w:rsid w:val="002D41F6"/>
    <w:rsid w:val="002D74E3"/>
    <w:rsid w:val="002E1FBC"/>
    <w:rsid w:val="002F02A4"/>
    <w:rsid w:val="002F6030"/>
    <w:rsid w:val="003001AC"/>
    <w:rsid w:val="003037E1"/>
    <w:rsid w:val="00307E51"/>
    <w:rsid w:val="003103EC"/>
    <w:rsid w:val="00312132"/>
    <w:rsid w:val="003130BA"/>
    <w:rsid w:val="003139BE"/>
    <w:rsid w:val="003144EF"/>
    <w:rsid w:val="0031480E"/>
    <w:rsid w:val="00314D0A"/>
    <w:rsid w:val="00316877"/>
    <w:rsid w:val="00321C2D"/>
    <w:rsid w:val="00322F74"/>
    <w:rsid w:val="00323BA1"/>
    <w:rsid w:val="00325E15"/>
    <w:rsid w:val="00335116"/>
    <w:rsid w:val="00335C7F"/>
    <w:rsid w:val="003361D6"/>
    <w:rsid w:val="00340073"/>
    <w:rsid w:val="00340B43"/>
    <w:rsid w:val="00341104"/>
    <w:rsid w:val="003411D8"/>
    <w:rsid w:val="0034192C"/>
    <w:rsid w:val="003445B0"/>
    <w:rsid w:val="00350EE5"/>
    <w:rsid w:val="00353B66"/>
    <w:rsid w:val="00355393"/>
    <w:rsid w:val="00355934"/>
    <w:rsid w:val="0035698B"/>
    <w:rsid w:val="00357928"/>
    <w:rsid w:val="0036010E"/>
    <w:rsid w:val="00360C5C"/>
    <w:rsid w:val="003630A1"/>
    <w:rsid w:val="003632FD"/>
    <w:rsid w:val="00366EFD"/>
    <w:rsid w:val="00370F78"/>
    <w:rsid w:val="00372805"/>
    <w:rsid w:val="00372B0C"/>
    <w:rsid w:val="00373180"/>
    <w:rsid w:val="00375AB9"/>
    <w:rsid w:val="00376343"/>
    <w:rsid w:val="0037691E"/>
    <w:rsid w:val="00377879"/>
    <w:rsid w:val="00381AAA"/>
    <w:rsid w:val="003821A0"/>
    <w:rsid w:val="00385B04"/>
    <w:rsid w:val="003864CF"/>
    <w:rsid w:val="00393262"/>
    <w:rsid w:val="003948AE"/>
    <w:rsid w:val="0039693D"/>
    <w:rsid w:val="003A08C0"/>
    <w:rsid w:val="003A22A6"/>
    <w:rsid w:val="003A2A58"/>
    <w:rsid w:val="003A32EB"/>
    <w:rsid w:val="003A5494"/>
    <w:rsid w:val="003B2510"/>
    <w:rsid w:val="003B2B0C"/>
    <w:rsid w:val="003B4355"/>
    <w:rsid w:val="003B5D0A"/>
    <w:rsid w:val="003B5D32"/>
    <w:rsid w:val="003C2CC4"/>
    <w:rsid w:val="003C3710"/>
    <w:rsid w:val="003C408D"/>
    <w:rsid w:val="003C42A3"/>
    <w:rsid w:val="003C48F7"/>
    <w:rsid w:val="003C540A"/>
    <w:rsid w:val="003E0463"/>
    <w:rsid w:val="003E0E35"/>
    <w:rsid w:val="003E0EFC"/>
    <w:rsid w:val="003E1286"/>
    <w:rsid w:val="003E4A2B"/>
    <w:rsid w:val="003E5BDD"/>
    <w:rsid w:val="003E6FE9"/>
    <w:rsid w:val="003E76C2"/>
    <w:rsid w:val="003F1367"/>
    <w:rsid w:val="003F1679"/>
    <w:rsid w:val="003F21EB"/>
    <w:rsid w:val="003F3E03"/>
    <w:rsid w:val="003F4A35"/>
    <w:rsid w:val="003F5F03"/>
    <w:rsid w:val="003F7FDD"/>
    <w:rsid w:val="00400E4A"/>
    <w:rsid w:val="00401813"/>
    <w:rsid w:val="00402101"/>
    <w:rsid w:val="00402481"/>
    <w:rsid w:val="00402978"/>
    <w:rsid w:val="00403F58"/>
    <w:rsid w:val="004042B4"/>
    <w:rsid w:val="00410DC4"/>
    <w:rsid w:val="00412CB9"/>
    <w:rsid w:val="00412DAE"/>
    <w:rsid w:val="0041302D"/>
    <w:rsid w:val="0041464A"/>
    <w:rsid w:val="004242E6"/>
    <w:rsid w:val="00427B35"/>
    <w:rsid w:val="00431598"/>
    <w:rsid w:val="004319AD"/>
    <w:rsid w:val="0043346D"/>
    <w:rsid w:val="0043744A"/>
    <w:rsid w:val="00440B37"/>
    <w:rsid w:val="00441B7F"/>
    <w:rsid w:val="004426B8"/>
    <w:rsid w:val="00444432"/>
    <w:rsid w:val="0044460A"/>
    <w:rsid w:val="00447D5C"/>
    <w:rsid w:val="00450202"/>
    <w:rsid w:val="004502B2"/>
    <w:rsid w:val="00452913"/>
    <w:rsid w:val="00455499"/>
    <w:rsid w:val="0045578D"/>
    <w:rsid w:val="004633F6"/>
    <w:rsid w:val="004649A7"/>
    <w:rsid w:val="00466221"/>
    <w:rsid w:val="00467DBC"/>
    <w:rsid w:val="00471860"/>
    <w:rsid w:val="00471DFE"/>
    <w:rsid w:val="0047246B"/>
    <w:rsid w:val="00477026"/>
    <w:rsid w:val="00477730"/>
    <w:rsid w:val="00485961"/>
    <w:rsid w:val="00491CB5"/>
    <w:rsid w:val="004A2B11"/>
    <w:rsid w:val="004A43DB"/>
    <w:rsid w:val="004A744D"/>
    <w:rsid w:val="004A7811"/>
    <w:rsid w:val="004B1491"/>
    <w:rsid w:val="004B60BD"/>
    <w:rsid w:val="004B6A20"/>
    <w:rsid w:val="004C3150"/>
    <w:rsid w:val="004C3641"/>
    <w:rsid w:val="004C3873"/>
    <w:rsid w:val="004C4390"/>
    <w:rsid w:val="004C4AF7"/>
    <w:rsid w:val="004C68F1"/>
    <w:rsid w:val="004C7501"/>
    <w:rsid w:val="004D020C"/>
    <w:rsid w:val="004D2881"/>
    <w:rsid w:val="004D2D7D"/>
    <w:rsid w:val="004D385F"/>
    <w:rsid w:val="004D3C84"/>
    <w:rsid w:val="004D49E4"/>
    <w:rsid w:val="004D5B39"/>
    <w:rsid w:val="004D7976"/>
    <w:rsid w:val="004E0CEA"/>
    <w:rsid w:val="004E330D"/>
    <w:rsid w:val="004E4985"/>
    <w:rsid w:val="004E5147"/>
    <w:rsid w:val="004E69B5"/>
    <w:rsid w:val="004F150F"/>
    <w:rsid w:val="004F31D6"/>
    <w:rsid w:val="004F50D1"/>
    <w:rsid w:val="004F5C43"/>
    <w:rsid w:val="004F605A"/>
    <w:rsid w:val="00501F02"/>
    <w:rsid w:val="005050A2"/>
    <w:rsid w:val="00506030"/>
    <w:rsid w:val="0050652D"/>
    <w:rsid w:val="00506C03"/>
    <w:rsid w:val="00511A11"/>
    <w:rsid w:val="005128FD"/>
    <w:rsid w:val="005157F5"/>
    <w:rsid w:val="00516496"/>
    <w:rsid w:val="00522A52"/>
    <w:rsid w:val="00522E7D"/>
    <w:rsid w:val="00523B11"/>
    <w:rsid w:val="0052455B"/>
    <w:rsid w:val="00524C43"/>
    <w:rsid w:val="0052572A"/>
    <w:rsid w:val="00532DFB"/>
    <w:rsid w:val="00534DCF"/>
    <w:rsid w:val="00541E9F"/>
    <w:rsid w:val="00543CB3"/>
    <w:rsid w:val="005442E4"/>
    <w:rsid w:val="00545997"/>
    <w:rsid w:val="00545D3C"/>
    <w:rsid w:val="00547652"/>
    <w:rsid w:val="00553885"/>
    <w:rsid w:val="0055529B"/>
    <w:rsid w:val="00560FF0"/>
    <w:rsid w:val="00561111"/>
    <w:rsid w:val="005614BD"/>
    <w:rsid w:val="00562F3D"/>
    <w:rsid w:val="0057154F"/>
    <w:rsid w:val="00580E0E"/>
    <w:rsid w:val="00580F69"/>
    <w:rsid w:val="00581CA3"/>
    <w:rsid w:val="00585031"/>
    <w:rsid w:val="00586E8B"/>
    <w:rsid w:val="00587090"/>
    <w:rsid w:val="00587A44"/>
    <w:rsid w:val="00590CE2"/>
    <w:rsid w:val="00591EC1"/>
    <w:rsid w:val="00593F36"/>
    <w:rsid w:val="00595A5E"/>
    <w:rsid w:val="00597730"/>
    <w:rsid w:val="005977EC"/>
    <w:rsid w:val="00597DE7"/>
    <w:rsid w:val="005A1CD3"/>
    <w:rsid w:val="005A4AA2"/>
    <w:rsid w:val="005A5994"/>
    <w:rsid w:val="005B34B6"/>
    <w:rsid w:val="005B3FBB"/>
    <w:rsid w:val="005B606A"/>
    <w:rsid w:val="005B6C8F"/>
    <w:rsid w:val="005B6EC3"/>
    <w:rsid w:val="005B7AF3"/>
    <w:rsid w:val="005B7E23"/>
    <w:rsid w:val="005C17D7"/>
    <w:rsid w:val="005C33CE"/>
    <w:rsid w:val="005C51D5"/>
    <w:rsid w:val="005C6C4A"/>
    <w:rsid w:val="005D0F74"/>
    <w:rsid w:val="005D2E7D"/>
    <w:rsid w:val="005D4A8F"/>
    <w:rsid w:val="005D561B"/>
    <w:rsid w:val="005D578F"/>
    <w:rsid w:val="005D5ECF"/>
    <w:rsid w:val="005E2AB6"/>
    <w:rsid w:val="005E572A"/>
    <w:rsid w:val="005E7730"/>
    <w:rsid w:val="005E7E8E"/>
    <w:rsid w:val="005F4159"/>
    <w:rsid w:val="005F468D"/>
    <w:rsid w:val="005F5556"/>
    <w:rsid w:val="005F69A3"/>
    <w:rsid w:val="00603BAC"/>
    <w:rsid w:val="00604CC7"/>
    <w:rsid w:val="00613441"/>
    <w:rsid w:val="006147F2"/>
    <w:rsid w:val="00615423"/>
    <w:rsid w:val="00615491"/>
    <w:rsid w:val="006165B2"/>
    <w:rsid w:val="00617276"/>
    <w:rsid w:val="0062527B"/>
    <w:rsid w:val="00625D97"/>
    <w:rsid w:val="00625F1C"/>
    <w:rsid w:val="0062658E"/>
    <w:rsid w:val="00626640"/>
    <w:rsid w:val="0062681D"/>
    <w:rsid w:val="00626824"/>
    <w:rsid w:val="006279E1"/>
    <w:rsid w:val="00630CEB"/>
    <w:rsid w:val="00632264"/>
    <w:rsid w:val="00633270"/>
    <w:rsid w:val="00634B7B"/>
    <w:rsid w:val="006355F2"/>
    <w:rsid w:val="00645D3D"/>
    <w:rsid w:val="0064602C"/>
    <w:rsid w:val="006470BC"/>
    <w:rsid w:val="00654F3D"/>
    <w:rsid w:val="006554D3"/>
    <w:rsid w:val="006603F4"/>
    <w:rsid w:val="00661708"/>
    <w:rsid w:val="00666522"/>
    <w:rsid w:val="00667036"/>
    <w:rsid w:val="006672AE"/>
    <w:rsid w:val="00667B89"/>
    <w:rsid w:val="00673BDB"/>
    <w:rsid w:val="00673F3D"/>
    <w:rsid w:val="00674341"/>
    <w:rsid w:val="006771B8"/>
    <w:rsid w:val="00682631"/>
    <w:rsid w:val="00683A89"/>
    <w:rsid w:val="006843B6"/>
    <w:rsid w:val="0068481F"/>
    <w:rsid w:val="00685BE0"/>
    <w:rsid w:val="0068674C"/>
    <w:rsid w:val="00692200"/>
    <w:rsid w:val="00693EA1"/>
    <w:rsid w:val="006945FC"/>
    <w:rsid w:val="0069636F"/>
    <w:rsid w:val="00696F5D"/>
    <w:rsid w:val="00697249"/>
    <w:rsid w:val="006A06F3"/>
    <w:rsid w:val="006A1A67"/>
    <w:rsid w:val="006A3768"/>
    <w:rsid w:val="006A6DF5"/>
    <w:rsid w:val="006B09C4"/>
    <w:rsid w:val="006B3947"/>
    <w:rsid w:val="006B4293"/>
    <w:rsid w:val="006B624F"/>
    <w:rsid w:val="006B6B43"/>
    <w:rsid w:val="006C0C95"/>
    <w:rsid w:val="006C31E3"/>
    <w:rsid w:val="006D016B"/>
    <w:rsid w:val="006D18D3"/>
    <w:rsid w:val="006D1EE9"/>
    <w:rsid w:val="006D339D"/>
    <w:rsid w:val="006D3BD1"/>
    <w:rsid w:val="006E010E"/>
    <w:rsid w:val="006E08CB"/>
    <w:rsid w:val="006E598D"/>
    <w:rsid w:val="006E64A8"/>
    <w:rsid w:val="006E6EB7"/>
    <w:rsid w:val="006F09A6"/>
    <w:rsid w:val="00702983"/>
    <w:rsid w:val="00702D32"/>
    <w:rsid w:val="0070437D"/>
    <w:rsid w:val="00704CF1"/>
    <w:rsid w:val="00704E33"/>
    <w:rsid w:val="00705B04"/>
    <w:rsid w:val="0071040E"/>
    <w:rsid w:val="007138F9"/>
    <w:rsid w:val="00717EE9"/>
    <w:rsid w:val="00724992"/>
    <w:rsid w:val="00724F64"/>
    <w:rsid w:val="00727F90"/>
    <w:rsid w:val="00734820"/>
    <w:rsid w:val="007349DC"/>
    <w:rsid w:val="00741D89"/>
    <w:rsid w:val="0074365E"/>
    <w:rsid w:val="00743682"/>
    <w:rsid w:val="007445EE"/>
    <w:rsid w:val="00744B55"/>
    <w:rsid w:val="007515FD"/>
    <w:rsid w:val="00753AB2"/>
    <w:rsid w:val="007543C0"/>
    <w:rsid w:val="0075695E"/>
    <w:rsid w:val="00760D80"/>
    <w:rsid w:val="00761CB4"/>
    <w:rsid w:val="00764170"/>
    <w:rsid w:val="00767110"/>
    <w:rsid w:val="00772C4A"/>
    <w:rsid w:val="00780729"/>
    <w:rsid w:val="00780C09"/>
    <w:rsid w:val="00780DDF"/>
    <w:rsid w:val="007834E9"/>
    <w:rsid w:val="00787DBC"/>
    <w:rsid w:val="0079019A"/>
    <w:rsid w:val="0079030B"/>
    <w:rsid w:val="00792935"/>
    <w:rsid w:val="00793EAA"/>
    <w:rsid w:val="007A04A1"/>
    <w:rsid w:val="007A1840"/>
    <w:rsid w:val="007A41DD"/>
    <w:rsid w:val="007B02BF"/>
    <w:rsid w:val="007B04E6"/>
    <w:rsid w:val="007B06F5"/>
    <w:rsid w:val="007B1840"/>
    <w:rsid w:val="007B730C"/>
    <w:rsid w:val="007C0528"/>
    <w:rsid w:val="007C08EA"/>
    <w:rsid w:val="007C3D38"/>
    <w:rsid w:val="007D0F35"/>
    <w:rsid w:val="007D1783"/>
    <w:rsid w:val="007D4546"/>
    <w:rsid w:val="007D499F"/>
    <w:rsid w:val="007D4FEB"/>
    <w:rsid w:val="007D6146"/>
    <w:rsid w:val="007E0CE7"/>
    <w:rsid w:val="007E5041"/>
    <w:rsid w:val="007E6DAF"/>
    <w:rsid w:val="007F1193"/>
    <w:rsid w:val="007F29E3"/>
    <w:rsid w:val="007F3C1E"/>
    <w:rsid w:val="007F417F"/>
    <w:rsid w:val="007F7644"/>
    <w:rsid w:val="008042BD"/>
    <w:rsid w:val="00804E17"/>
    <w:rsid w:val="008050B3"/>
    <w:rsid w:val="00805CCD"/>
    <w:rsid w:val="008143B9"/>
    <w:rsid w:val="00816624"/>
    <w:rsid w:val="00822427"/>
    <w:rsid w:val="00822562"/>
    <w:rsid w:val="00823663"/>
    <w:rsid w:val="00823664"/>
    <w:rsid w:val="00825CBF"/>
    <w:rsid w:val="00826677"/>
    <w:rsid w:val="0082682E"/>
    <w:rsid w:val="00830496"/>
    <w:rsid w:val="008305B7"/>
    <w:rsid w:val="00832DDC"/>
    <w:rsid w:val="008426B0"/>
    <w:rsid w:val="008431BB"/>
    <w:rsid w:val="00845E34"/>
    <w:rsid w:val="00850BAC"/>
    <w:rsid w:val="00850DD2"/>
    <w:rsid w:val="00852E2F"/>
    <w:rsid w:val="00854A3E"/>
    <w:rsid w:val="00854FAF"/>
    <w:rsid w:val="00855D08"/>
    <w:rsid w:val="008618A4"/>
    <w:rsid w:val="00862EE2"/>
    <w:rsid w:val="00863930"/>
    <w:rsid w:val="00864A21"/>
    <w:rsid w:val="008731AB"/>
    <w:rsid w:val="008742A7"/>
    <w:rsid w:val="00874344"/>
    <w:rsid w:val="0087505D"/>
    <w:rsid w:val="00877703"/>
    <w:rsid w:val="00881F30"/>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B16CC"/>
    <w:rsid w:val="008B5C68"/>
    <w:rsid w:val="008B62AE"/>
    <w:rsid w:val="008B7A28"/>
    <w:rsid w:val="008C04B5"/>
    <w:rsid w:val="008C14FA"/>
    <w:rsid w:val="008C5457"/>
    <w:rsid w:val="008C7B0B"/>
    <w:rsid w:val="008D0385"/>
    <w:rsid w:val="008D23E7"/>
    <w:rsid w:val="008D4057"/>
    <w:rsid w:val="008D676C"/>
    <w:rsid w:val="008D6C49"/>
    <w:rsid w:val="008E007E"/>
    <w:rsid w:val="008E1F19"/>
    <w:rsid w:val="008E3913"/>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1718E"/>
    <w:rsid w:val="00920E64"/>
    <w:rsid w:val="00922002"/>
    <w:rsid w:val="009225CB"/>
    <w:rsid w:val="00924020"/>
    <w:rsid w:val="00924BF4"/>
    <w:rsid w:val="00925337"/>
    <w:rsid w:val="009271A7"/>
    <w:rsid w:val="0092762F"/>
    <w:rsid w:val="00931D05"/>
    <w:rsid w:val="00932812"/>
    <w:rsid w:val="00934CB8"/>
    <w:rsid w:val="0093658B"/>
    <w:rsid w:val="00937CC5"/>
    <w:rsid w:val="00941FC4"/>
    <w:rsid w:val="00942599"/>
    <w:rsid w:val="009429FF"/>
    <w:rsid w:val="00943A10"/>
    <w:rsid w:val="009444D1"/>
    <w:rsid w:val="00945BD6"/>
    <w:rsid w:val="009479FB"/>
    <w:rsid w:val="00951C45"/>
    <w:rsid w:val="00951DD8"/>
    <w:rsid w:val="00951EE9"/>
    <w:rsid w:val="00953C0D"/>
    <w:rsid w:val="0096053F"/>
    <w:rsid w:val="009656F2"/>
    <w:rsid w:val="009663D3"/>
    <w:rsid w:val="00966A08"/>
    <w:rsid w:val="009701B7"/>
    <w:rsid w:val="00971207"/>
    <w:rsid w:val="00971EEF"/>
    <w:rsid w:val="00972FDC"/>
    <w:rsid w:val="00975CB4"/>
    <w:rsid w:val="009829B7"/>
    <w:rsid w:val="009863B0"/>
    <w:rsid w:val="00987868"/>
    <w:rsid w:val="00987DE1"/>
    <w:rsid w:val="00990571"/>
    <w:rsid w:val="00991905"/>
    <w:rsid w:val="009926B2"/>
    <w:rsid w:val="00993538"/>
    <w:rsid w:val="0099673A"/>
    <w:rsid w:val="009A31C7"/>
    <w:rsid w:val="009A3291"/>
    <w:rsid w:val="009A3330"/>
    <w:rsid w:val="009A548F"/>
    <w:rsid w:val="009A7C96"/>
    <w:rsid w:val="009B483E"/>
    <w:rsid w:val="009B4ACC"/>
    <w:rsid w:val="009B61BF"/>
    <w:rsid w:val="009C3253"/>
    <w:rsid w:val="009C3DB9"/>
    <w:rsid w:val="009C5968"/>
    <w:rsid w:val="009C6E3D"/>
    <w:rsid w:val="009D0436"/>
    <w:rsid w:val="009D1361"/>
    <w:rsid w:val="009D46E5"/>
    <w:rsid w:val="009D4FE8"/>
    <w:rsid w:val="009D568A"/>
    <w:rsid w:val="009E2B39"/>
    <w:rsid w:val="009E588E"/>
    <w:rsid w:val="009E7956"/>
    <w:rsid w:val="009F04EC"/>
    <w:rsid w:val="009F2A7C"/>
    <w:rsid w:val="009F3B36"/>
    <w:rsid w:val="00A019B9"/>
    <w:rsid w:val="00A03157"/>
    <w:rsid w:val="00A10E4E"/>
    <w:rsid w:val="00A11756"/>
    <w:rsid w:val="00A12497"/>
    <w:rsid w:val="00A12508"/>
    <w:rsid w:val="00A1282B"/>
    <w:rsid w:val="00A13479"/>
    <w:rsid w:val="00A1386C"/>
    <w:rsid w:val="00A13A27"/>
    <w:rsid w:val="00A15B7C"/>
    <w:rsid w:val="00A175B6"/>
    <w:rsid w:val="00A21835"/>
    <w:rsid w:val="00A2374B"/>
    <w:rsid w:val="00A23AAB"/>
    <w:rsid w:val="00A23D95"/>
    <w:rsid w:val="00A27D6E"/>
    <w:rsid w:val="00A30AEE"/>
    <w:rsid w:val="00A328EC"/>
    <w:rsid w:val="00A33A51"/>
    <w:rsid w:val="00A413A5"/>
    <w:rsid w:val="00A41717"/>
    <w:rsid w:val="00A41CA6"/>
    <w:rsid w:val="00A4267E"/>
    <w:rsid w:val="00A431ED"/>
    <w:rsid w:val="00A47927"/>
    <w:rsid w:val="00A47FFC"/>
    <w:rsid w:val="00A52C51"/>
    <w:rsid w:val="00A5442F"/>
    <w:rsid w:val="00A54FF9"/>
    <w:rsid w:val="00A55BAD"/>
    <w:rsid w:val="00A56765"/>
    <w:rsid w:val="00A66D7D"/>
    <w:rsid w:val="00A67095"/>
    <w:rsid w:val="00A675AC"/>
    <w:rsid w:val="00A7097D"/>
    <w:rsid w:val="00A741E7"/>
    <w:rsid w:val="00A7581F"/>
    <w:rsid w:val="00A808CD"/>
    <w:rsid w:val="00A81274"/>
    <w:rsid w:val="00A84BEC"/>
    <w:rsid w:val="00A85CBE"/>
    <w:rsid w:val="00A86ACA"/>
    <w:rsid w:val="00A90058"/>
    <w:rsid w:val="00A9226D"/>
    <w:rsid w:val="00A92439"/>
    <w:rsid w:val="00A92FB1"/>
    <w:rsid w:val="00A95980"/>
    <w:rsid w:val="00A95A0C"/>
    <w:rsid w:val="00A96516"/>
    <w:rsid w:val="00AA2765"/>
    <w:rsid w:val="00AA5DFC"/>
    <w:rsid w:val="00AA77B5"/>
    <w:rsid w:val="00AB0AB1"/>
    <w:rsid w:val="00AB30FD"/>
    <w:rsid w:val="00AB6C5D"/>
    <w:rsid w:val="00AC3401"/>
    <w:rsid w:val="00AC51A7"/>
    <w:rsid w:val="00AC603B"/>
    <w:rsid w:val="00AD0E89"/>
    <w:rsid w:val="00AD1D87"/>
    <w:rsid w:val="00AD20BA"/>
    <w:rsid w:val="00AD444B"/>
    <w:rsid w:val="00AD5614"/>
    <w:rsid w:val="00AD6C78"/>
    <w:rsid w:val="00AD6DEE"/>
    <w:rsid w:val="00AD7012"/>
    <w:rsid w:val="00AD7738"/>
    <w:rsid w:val="00AD7C73"/>
    <w:rsid w:val="00AE03F0"/>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0702E"/>
    <w:rsid w:val="00B13A74"/>
    <w:rsid w:val="00B14E5A"/>
    <w:rsid w:val="00B15370"/>
    <w:rsid w:val="00B16DA4"/>
    <w:rsid w:val="00B17BEB"/>
    <w:rsid w:val="00B20910"/>
    <w:rsid w:val="00B21A3C"/>
    <w:rsid w:val="00B223C0"/>
    <w:rsid w:val="00B234ED"/>
    <w:rsid w:val="00B2443F"/>
    <w:rsid w:val="00B249B2"/>
    <w:rsid w:val="00B24BEC"/>
    <w:rsid w:val="00B25CA3"/>
    <w:rsid w:val="00B2765A"/>
    <w:rsid w:val="00B27DEB"/>
    <w:rsid w:val="00B302A9"/>
    <w:rsid w:val="00B3109A"/>
    <w:rsid w:val="00B314D2"/>
    <w:rsid w:val="00B31BD5"/>
    <w:rsid w:val="00B32D37"/>
    <w:rsid w:val="00B34AC7"/>
    <w:rsid w:val="00B41AA8"/>
    <w:rsid w:val="00B42B45"/>
    <w:rsid w:val="00B453B4"/>
    <w:rsid w:val="00B516ED"/>
    <w:rsid w:val="00B565DA"/>
    <w:rsid w:val="00B56891"/>
    <w:rsid w:val="00B57A6A"/>
    <w:rsid w:val="00B62D0D"/>
    <w:rsid w:val="00B760F1"/>
    <w:rsid w:val="00B7669E"/>
    <w:rsid w:val="00B76BE7"/>
    <w:rsid w:val="00B76EBB"/>
    <w:rsid w:val="00B77DA1"/>
    <w:rsid w:val="00B822A0"/>
    <w:rsid w:val="00B82F85"/>
    <w:rsid w:val="00B858AE"/>
    <w:rsid w:val="00B85964"/>
    <w:rsid w:val="00B9127C"/>
    <w:rsid w:val="00B95303"/>
    <w:rsid w:val="00B95EF7"/>
    <w:rsid w:val="00B96250"/>
    <w:rsid w:val="00BA0D55"/>
    <w:rsid w:val="00BA37B3"/>
    <w:rsid w:val="00BA4CC6"/>
    <w:rsid w:val="00BA7F46"/>
    <w:rsid w:val="00BB0F1D"/>
    <w:rsid w:val="00BB1628"/>
    <w:rsid w:val="00BB217B"/>
    <w:rsid w:val="00BB3493"/>
    <w:rsid w:val="00BB6E4C"/>
    <w:rsid w:val="00BB7468"/>
    <w:rsid w:val="00BC0514"/>
    <w:rsid w:val="00BC188A"/>
    <w:rsid w:val="00BC3B87"/>
    <w:rsid w:val="00BC402E"/>
    <w:rsid w:val="00BC70C6"/>
    <w:rsid w:val="00BD0F48"/>
    <w:rsid w:val="00BD1284"/>
    <w:rsid w:val="00BD14E5"/>
    <w:rsid w:val="00BD2318"/>
    <w:rsid w:val="00BD6EFF"/>
    <w:rsid w:val="00BD7EE6"/>
    <w:rsid w:val="00BE0E50"/>
    <w:rsid w:val="00BE10E0"/>
    <w:rsid w:val="00BE18B7"/>
    <w:rsid w:val="00BE6023"/>
    <w:rsid w:val="00BE686D"/>
    <w:rsid w:val="00BE6DDB"/>
    <w:rsid w:val="00BE6E32"/>
    <w:rsid w:val="00BE6FDA"/>
    <w:rsid w:val="00BE7513"/>
    <w:rsid w:val="00BF03E0"/>
    <w:rsid w:val="00BF17CC"/>
    <w:rsid w:val="00BF5010"/>
    <w:rsid w:val="00C002C1"/>
    <w:rsid w:val="00C00683"/>
    <w:rsid w:val="00C03009"/>
    <w:rsid w:val="00C03D5F"/>
    <w:rsid w:val="00C13791"/>
    <w:rsid w:val="00C210BD"/>
    <w:rsid w:val="00C2575A"/>
    <w:rsid w:val="00C31BB3"/>
    <w:rsid w:val="00C32F9A"/>
    <w:rsid w:val="00C36977"/>
    <w:rsid w:val="00C416F7"/>
    <w:rsid w:val="00C435C5"/>
    <w:rsid w:val="00C46628"/>
    <w:rsid w:val="00C467DA"/>
    <w:rsid w:val="00C477D9"/>
    <w:rsid w:val="00C530DF"/>
    <w:rsid w:val="00C53BC8"/>
    <w:rsid w:val="00C5731A"/>
    <w:rsid w:val="00C57869"/>
    <w:rsid w:val="00C57D5A"/>
    <w:rsid w:val="00C6097E"/>
    <w:rsid w:val="00C60BA3"/>
    <w:rsid w:val="00C623F7"/>
    <w:rsid w:val="00C62563"/>
    <w:rsid w:val="00C6297D"/>
    <w:rsid w:val="00C62A81"/>
    <w:rsid w:val="00C63E8F"/>
    <w:rsid w:val="00C67CD7"/>
    <w:rsid w:val="00C71E00"/>
    <w:rsid w:val="00C72364"/>
    <w:rsid w:val="00C75BC5"/>
    <w:rsid w:val="00C81670"/>
    <w:rsid w:val="00C81773"/>
    <w:rsid w:val="00C82594"/>
    <w:rsid w:val="00C82861"/>
    <w:rsid w:val="00C8396C"/>
    <w:rsid w:val="00C846A3"/>
    <w:rsid w:val="00C8564E"/>
    <w:rsid w:val="00C86896"/>
    <w:rsid w:val="00C907A8"/>
    <w:rsid w:val="00C91670"/>
    <w:rsid w:val="00C93211"/>
    <w:rsid w:val="00C93DB8"/>
    <w:rsid w:val="00C940CD"/>
    <w:rsid w:val="00C942EC"/>
    <w:rsid w:val="00C96047"/>
    <w:rsid w:val="00C96C9E"/>
    <w:rsid w:val="00C979D0"/>
    <w:rsid w:val="00CA0818"/>
    <w:rsid w:val="00CA15C8"/>
    <w:rsid w:val="00CA2C8F"/>
    <w:rsid w:val="00CA30DA"/>
    <w:rsid w:val="00CA3A24"/>
    <w:rsid w:val="00CA55DD"/>
    <w:rsid w:val="00CA618F"/>
    <w:rsid w:val="00CA6BDC"/>
    <w:rsid w:val="00CB16BF"/>
    <w:rsid w:val="00CB1777"/>
    <w:rsid w:val="00CB33E9"/>
    <w:rsid w:val="00CB5CD6"/>
    <w:rsid w:val="00CC00DC"/>
    <w:rsid w:val="00CC10A9"/>
    <w:rsid w:val="00CC1B6B"/>
    <w:rsid w:val="00CD0655"/>
    <w:rsid w:val="00CD0660"/>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2BE4"/>
    <w:rsid w:val="00D034D7"/>
    <w:rsid w:val="00D04BE4"/>
    <w:rsid w:val="00D06FC7"/>
    <w:rsid w:val="00D12565"/>
    <w:rsid w:val="00D140C1"/>
    <w:rsid w:val="00D14127"/>
    <w:rsid w:val="00D17077"/>
    <w:rsid w:val="00D20741"/>
    <w:rsid w:val="00D211DE"/>
    <w:rsid w:val="00D21C97"/>
    <w:rsid w:val="00D22397"/>
    <w:rsid w:val="00D27915"/>
    <w:rsid w:val="00D309F8"/>
    <w:rsid w:val="00D311F7"/>
    <w:rsid w:val="00D4321D"/>
    <w:rsid w:val="00D479AE"/>
    <w:rsid w:val="00D505E2"/>
    <w:rsid w:val="00D50FCD"/>
    <w:rsid w:val="00D533E3"/>
    <w:rsid w:val="00D55429"/>
    <w:rsid w:val="00D56432"/>
    <w:rsid w:val="00D60B16"/>
    <w:rsid w:val="00D60C20"/>
    <w:rsid w:val="00D60F02"/>
    <w:rsid w:val="00D6139D"/>
    <w:rsid w:val="00D64A0B"/>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5E0E"/>
    <w:rsid w:val="00DB7D96"/>
    <w:rsid w:val="00DC23FE"/>
    <w:rsid w:val="00DC59E6"/>
    <w:rsid w:val="00DD06F8"/>
    <w:rsid w:val="00DD150B"/>
    <w:rsid w:val="00DD3356"/>
    <w:rsid w:val="00DD4537"/>
    <w:rsid w:val="00DD5025"/>
    <w:rsid w:val="00DD5464"/>
    <w:rsid w:val="00DD6F85"/>
    <w:rsid w:val="00DD748A"/>
    <w:rsid w:val="00DE254E"/>
    <w:rsid w:val="00DE32C0"/>
    <w:rsid w:val="00DE52C0"/>
    <w:rsid w:val="00DE76A7"/>
    <w:rsid w:val="00DF0522"/>
    <w:rsid w:val="00DF1163"/>
    <w:rsid w:val="00DF1510"/>
    <w:rsid w:val="00DF38C2"/>
    <w:rsid w:val="00E02F1F"/>
    <w:rsid w:val="00E05454"/>
    <w:rsid w:val="00E06484"/>
    <w:rsid w:val="00E06B24"/>
    <w:rsid w:val="00E11CCE"/>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527C"/>
    <w:rsid w:val="00E45D12"/>
    <w:rsid w:val="00E46EA7"/>
    <w:rsid w:val="00E47341"/>
    <w:rsid w:val="00E5364F"/>
    <w:rsid w:val="00E53CDE"/>
    <w:rsid w:val="00E567E8"/>
    <w:rsid w:val="00E63766"/>
    <w:rsid w:val="00E64679"/>
    <w:rsid w:val="00E65EBC"/>
    <w:rsid w:val="00E6602E"/>
    <w:rsid w:val="00E677FE"/>
    <w:rsid w:val="00E67B74"/>
    <w:rsid w:val="00E73432"/>
    <w:rsid w:val="00E776DD"/>
    <w:rsid w:val="00E77B0C"/>
    <w:rsid w:val="00E77FB8"/>
    <w:rsid w:val="00E838B0"/>
    <w:rsid w:val="00E85188"/>
    <w:rsid w:val="00E86A7C"/>
    <w:rsid w:val="00E878E1"/>
    <w:rsid w:val="00E87F2C"/>
    <w:rsid w:val="00E91C03"/>
    <w:rsid w:val="00E93E24"/>
    <w:rsid w:val="00E95278"/>
    <w:rsid w:val="00E96A42"/>
    <w:rsid w:val="00EA2273"/>
    <w:rsid w:val="00EA7C3C"/>
    <w:rsid w:val="00EB1294"/>
    <w:rsid w:val="00EB2DB3"/>
    <w:rsid w:val="00EC2A7A"/>
    <w:rsid w:val="00EC3FBB"/>
    <w:rsid w:val="00EC5475"/>
    <w:rsid w:val="00EC6B7A"/>
    <w:rsid w:val="00EC77F1"/>
    <w:rsid w:val="00ED3A87"/>
    <w:rsid w:val="00ED4A1D"/>
    <w:rsid w:val="00ED5B67"/>
    <w:rsid w:val="00EE1A5C"/>
    <w:rsid w:val="00EE4095"/>
    <w:rsid w:val="00EE5F5A"/>
    <w:rsid w:val="00EF1018"/>
    <w:rsid w:val="00EF22FB"/>
    <w:rsid w:val="00EF264C"/>
    <w:rsid w:val="00EF3FEE"/>
    <w:rsid w:val="00EF6B41"/>
    <w:rsid w:val="00F04B59"/>
    <w:rsid w:val="00F07B69"/>
    <w:rsid w:val="00F07D48"/>
    <w:rsid w:val="00F11741"/>
    <w:rsid w:val="00F117B0"/>
    <w:rsid w:val="00F11AF6"/>
    <w:rsid w:val="00F12B1C"/>
    <w:rsid w:val="00F13CF8"/>
    <w:rsid w:val="00F14474"/>
    <w:rsid w:val="00F15855"/>
    <w:rsid w:val="00F17FFD"/>
    <w:rsid w:val="00F200B2"/>
    <w:rsid w:val="00F21F84"/>
    <w:rsid w:val="00F227DC"/>
    <w:rsid w:val="00F25326"/>
    <w:rsid w:val="00F263B9"/>
    <w:rsid w:val="00F30701"/>
    <w:rsid w:val="00F32978"/>
    <w:rsid w:val="00F441A3"/>
    <w:rsid w:val="00F45CB2"/>
    <w:rsid w:val="00F468B5"/>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324F"/>
    <w:rsid w:val="00FB32D1"/>
    <w:rsid w:val="00FB4235"/>
    <w:rsid w:val="00FB4644"/>
    <w:rsid w:val="00FB4FAE"/>
    <w:rsid w:val="00FC4446"/>
    <w:rsid w:val="00FC5469"/>
    <w:rsid w:val="00FC67E6"/>
    <w:rsid w:val="00FC6D7D"/>
    <w:rsid w:val="00FD16B0"/>
    <w:rsid w:val="00FD27CE"/>
    <w:rsid w:val="00FD4FED"/>
    <w:rsid w:val="00FE00C8"/>
    <w:rsid w:val="00FE0577"/>
    <w:rsid w:val="00FE21A9"/>
    <w:rsid w:val="00FE2FF8"/>
    <w:rsid w:val="00FE564E"/>
    <w:rsid w:val="00FE5984"/>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566ED"/>
  <w15:docId w15:val="{EDE337B1-5071-4A4C-8DA4-13F23159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C825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0511E-49EB-4633-ADD7-67E9267A8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7</Pages>
  <Words>1970</Words>
  <Characters>11525</Characters>
  <Application>Microsoft Office Word</Application>
  <DocSecurity>0</DocSecurity>
  <Lines>174</Lines>
  <Paragraphs>140</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Danyel Sims</dc:creator>
  <cp:lastModifiedBy>Adam Teitzman</cp:lastModifiedBy>
  <cp:revision>3</cp:revision>
  <cp:lastPrinted>2004-01-27T20:32:00Z</cp:lastPrinted>
  <dcterms:created xsi:type="dcterms:W3CDTF">2026-06-24T12:22:00Z</dcterms:created>
  <dcterms:modified xsi:type="dcterms:W3CDTF">2026-06-24T14:18:00Z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20260045-EI</vt:lpwstr>
  </property>
  <property fmtid="{D5CDD505-2E9C-101B-9397-08002B2CF9AE}" pid="3" name="MasterDocument">
    <vt:bool>false</vt:bool>
  </property>
  <property fmtid="{D5CDD505-2E9C-101B-9397-08002B2CF9AE}" pid="4" name="SubDocument">
    <vt:bool>false</vt:bool>
  </property>
</Properties>
</file>