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5C58B" w14:textId="77777777" w:rsidR="00CC1E55" w:rsidRDefault="00CC1E55" w:rsidP="00CC1E55">
      <w:pPr>
        <w:pStyle w:val="OrderHeading"/>
      </w:pPr>
      <w:r>
        <w:t>BEFORE THE FLORIDA PUBLIC SERVICE COMMISSION</w:t>
      </w:r>
    </w:p>
    <w:p w14:paraId="4C235F03" w14:textId="77777777" w:rsidR="00CC1E55" w:rsidRDefault="00CC1E55" w:rsidP="00CC1E55">
      <w:pPr>
        <w:pStyle w:val="OrderBody"/>
      </w:pPr>
    </w:p>
    <w:p w14:paraId="2C9D8180" w14:textId="77777777" w:rsidR="00CC1E55" w:rsidRDefault="00CC1E55" w:rsidP="00CC1E55">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CC1E55" w:rsidRPr="00C63FCF" w14:paraId="21FC208F" w14:textId="77777777">
        <w:trPr>
          <w:trHeight w:val="828"/>
        </w:trPr>
        <w:tc>
          <w:tcPr>
            <w:tcW w:w="4788" w:type="dxa"/>
            <w:tcBorders>
              <w:bottom w:val="single" w:sz="8" w:space="0" w:color="auto"/>
              <w:right w:val="double" w:sz="6" w:space="0" w:color="auto"/>
            </w:tcBorders>
            <w:shd w:val="clear" w:color="auto" w:fill="auto"/>
          </w:tcPr>
          <w:p w14:paraId="317DC845" w14:textId="19C7C062" w:rsidR="00CC1E55" w:rsidRDefault="00CC1E55">
            <w:pPr>
              <w:pStyle w:val="OrderBody"/>
              <w:tabs>
                <w:tab w:val="center" w:pos="4320"/>
                <w:tab w:val="right" w:pos="8640"/>
              </w:tabs>
              <w:jc w:val="left"/>
            </w:pPr>
            <w:r>
              <w:t xml:space="preserve">In re: </w:t>
            </w:r>
            <w:bookmarkStart w:id="0" w:name="SSInRe"/>
            <w:bookmarkEnd w:id="0"/>
            <w:r>
              <w:t>Petition for a limited proceeding to approve large load tariff, by Duke Energy Florida, LLC.</w:t>
            </w:r>
          </w:p>
        </w:tc>
        <w:tc>
          <w:tcPr>
            <w:tcW w:w="4788" w:type="dxa"/>
            <w:tcBorders>
              <w:left w:val="double" w:sz="6" w:space="0" w:color="auto"/>
            </w:tcBorders>
            <w:shd w:val="clear" w:color="auto" w:fill="auto"/>
          </w:tcPr>
          <w:p w14:paraId="4178BE75" w14:textId="1F2C1E95" w:rsidR="00CC1E55" w:rsidRDefault="00CC1E55" w:rsidP="00CC1E55">
            <w:pPr>
              <w:pStyle w:val="OrderBody"/>
            </w:pPr>
            <w:r>
              <w:t xml:space="preserve">DOCKET NO. </w:t>
            </w:r>
            <w:bookmarkStart w:id="1" w:name="SSDocketNo"/>
            <w:bookmarkEnd w:id="1"/>
            <w:r>
              <w:t>20260064-EI</w:t>
            </w:r>
          </w:p>
          <w:p w14:paraId="502F5B9B" w14:textId="7E4113D8" w:rsidR="00CC1E55" w:rsidRDefault="00CC1E55">
            <w:pPr>
              <w:pStyle w:val="OrderBody"/>
              <w:tabs>
                <w:tab w:val="center" w:pos="4320"/>
                <w:tab w:val="right" w:pos="8640"/>
              </w:tabs>
              <w:jc w:val="left"/>
            </w:pPr>
            <w:r>
              <w:t xml:space="preserve">ORDER NO. </w:t>
            </w:r>
            <w:bookmarkStart w:id="2" w:name="OrderNo0244"/>
            <w:r w:rsidR="00B638C0">
              <w:t>PSC-2026-0244-PCO-EI</w:t>
            </w:r>
            <w:bookmarkEnd w:id="2"/>
          </w:p>
          <w:p w14:paraId="43DA1FA0" w14:textId="21A336EA" w:rsidR="00CC1E55" w:rsidRDefault="00CC1E55">
            <w:pPr>
              <w:pStyle w:val="OrderBody"/>
              <w:tabs>
                <w:tab w:val="center" w:pos="4320"/>
                <w:tab w:val="right" w:pos="8640"/>
              </w:tabs>
              <w:jc w:val="left"/>
            </w:pPr>
            <w:r>
              <w:t xml:space="preserve">ISSUED: </w:t>
            </w:r>
            <w:r w:rsidR="00B638C0">
              <w:t>July 8, 2026</w:t>
            </w:r>
          </w:p>
        </w:tc>
      </w:tr>
    </w:tbl>
    <w:p w14:paraId="3A34E1D0" w14:textId="77777777" w:rsidR="00CC1E55" w:rsidRDefault="00CC1E55" w:rsidP="00CC1E55"/>
    <w:p w14:paraId="64BF8EDB" w14:textId="6079C2D9" w:rsidR="00CB5276" w:rsidRDefault="00D611DF" w:rsidP="00CC1E55">
      <w:r>
        <w:t xml:space="preserve"> </w:t>
      </w:r>
    </w:p>
    <w:p w14:paraId="7D4689F4" w14:textId="39C425EA" w:rsidR="00CC1E55" w:rsidRDefault="00CC1E55" w:rsidP="00CC1E55">
      <w:pPr>
        <w:pStyle w:val="CenterUnderline"/>
      </w:pPr>
      <w:bookmarkStart w:id="3" w:name="Commissioners"/>
      <w:bookmarkEnd w:id="3"/>
      <w:r>
        <w:t>ORDER</w:t>
      </w:r>
      <w:bookmarkStart w:id="4" w:name="OrderTitle"/>
      <w:r>
        <w:t xml:space="preserve"> GRANTING FLORIDA RISING</w:t>
      </w:r>
      <w:r w:rsidR="00BC7289">
        <w:t>, INC.</w:t>
      </w:r>
      <w:r>
        <w:t xml:space="preserve">’S MOTION TO COMPEL </w:t>
      </w:r>
    </w:p>
    <w:p w14:paraId="23D84DFD" w14:textId="1EA3642B" w:rsidR="00CB5276" w:rsidRDefault="00CC1E55" w:rsidP="00CC1E55">
      <w:pPr>
        <w:pStyle w:val="CenterUnderline"/>
      </w:pPr>
      <w:r>
        <w:t xml:space="preserve">DUKE ENERGY FLORIDA, LLC’S RESPONSE TO DISCOVERY </w:t>
      </w:r>
      <w:bookmarkEnd w:id="4"/>
    </w:p>
    <w:p w14:paraId="677607A2" w14:textId="77777777" w:rsidR="00CC1E55" w:rsidRDefault="00CC1E55" w:rsidP="00CC1E55">
      <w:pPr>
        <w:pStyle w:val="CenterUnderline"/>
      </w:pPr>
    </w:p>
    <w:p w14:paraId="3F606A92" w14:textId="0ECE64AB" w:rsidR="00CC1E55" w:rsidRPr="00CC1E55" w:rsidRDefault="00CC1E55" w:rsidP="00A766BF">
      <w:pPr>
        <w:pStyle w:val="CenterUnderline"/>
        <w:jc w:val="both"/>
        <w:rPr>
          <w:bCs/>
          <w:u w:val="none"/>
        </w:rPr>
      </w:pPr>
      <w:bookmarkStart w:id="5" w:name="OrderText"/>
      <w:bookmarkEnd w:id="5"/>
      <w:r w:rsidRPr="00CC1E55">
        <w:rPr>
          <w:bCs/>
          <w:u w:val="none"/>
        </w:rPr>
        <w:tab/>
      </w:r>
      <w:r w:rsidR="00A766BF" w:rsidRPr="00A766BF">
        <w:rPr>
          <w:bCs/>
          <w:u w:val="none"/>
        </w:rPr>
        <w:t>On April 22, 2026, Duke Energy Florida, LLC (DEF or Utility) filed a petition for a limited proceeding seeking approval of a new Large Load Customer Policy (LLCP), a Large Load Customer Agreement (LLCA), and revised Contribution in Aid of Construction (CIAC) tariffs. DEF states that this filing complies with newly passed state legislation, Senate Bill 484 (SB 484). The Governor signed SB 484 into law on May 7, 2026, which takes effect on July 1, 2026</w:t>
      </w:r>
      <w:r w:rsidR="00B33551">
        <w:rPr>
          <w:bCs/>
          <w:u w:val="none"/>
        </w:rPr>
        <w:t>,</w:t>
      </w:r>
      <w:r w:rsidR="00326A62">
        <w:rPr>
          <w:bCs/>
          <w:u w:val="none"/>
        </w:rPr>
        <w:t xml:space="preserve"> as Section 366.043, Florida Statutes (F.S.).</w:t>
      </w:r>
      <w:r w:rsidR="00326A62" w:rsidRPr="00A766BF" w:rsidDel="00326A62">
        <w:rPr>
          <w:bCs/>
          <w:u w:val="none"/>
        </w:rPr>
        <w:t xml:space="preserve"> </w:t>
      </w:r>
    </w:p>
    <w:p w14:paraId="70E52F3D" w14:textId="77777777" w:rsidR="00CC1E55" w:rsidRPr="00CC1E55" w:rsidRDefault="00CC1E55" w:rsidP="00A766BF">
      <w:pPr>
        <w:pStyle w:val="CenterUnderline"/>
        <w:jc w:val="both"/>
        <w:rPr>
          <w:bCs/>
          <w:u w:val="none"/>
        </w:rPr>
      </w:pPr>
    </w:p>
    <w:p w14:paraId="23522CF3" w14:textId="6B0C87D8" w:rsidR="00CC1E55" w:rsidRPr="00CC1E55" w:rsidRDefault="00A766BF" w:rsidP="00A766BF">
      <w:pPr>
        <w:pStyle w:val="CenterUnderline"/>
        <w:ind w:firstLine="720"/>
        <w:jc w:val="both"/>
        <w:rPr>
          <w:bCs/>
          <w:u w:val="none"/>
        </w:rPr>
      </w:pPr>
      <w:r w:rsidRPr="00A766BF">
        <w:rPr>
          <w:bCs/>
          <w:u w:val="none"/>
        </w:rPr>
        <w:t xml:space="preserve">The LLCP and associated LLCA establish a minimum contract term, minimum monthly bill provisions, security requirements, and early termination provisions. Customers subject to the LLCP must also pay a non-refundable system impact fee. Finally, the LLCP contains a CIAC provision requiring </w:t>
      </w:r>
      <w:r w:rsidR="00A01C4F">
        <w:rPr>
          <w:bCs/>
          <w:u w:val="none"/>
        </w:rPr>
        <w:t xml:space="preserve">large load </w:t>
      </w:r>
      <w:r w:rsidRPr="00A766BF">
        <w:rPr>
          <w:bCs/>
          <w:u w:val="none"/>
        </w:rPr>
        <w:t>customers to pay 100 percent of the estimated costs to extend service in advance.</w:t>
      </w:r>
    </w:p>
    <w:p w14:paraId="22932E6F" w14:textId="77777777" w:rsidR="00CC1E55" w:rsidRPr="00CC1E55" w:rsidRDefault="00CC1E55" w:rsidP="00A766BF">
      <w:pPr>
        <w:pStyle w:val="CenterUnderline"/>
        <w:jc w:val="both"/>
        <w:rPr>
          <w:bCs/>
          <w:u w:val="none"/>
        </w:rPr>
      </w:pPr>
    </w:p>
    <w:p w14:paraId="2B4863E1" w14:textId="02E94CF2" w:rsidR="00BC7289" w:rsidRDefault="00D5048C" w:rsidP="00BC7289">
      <w:pPr>
        <w:pStyle w:val="CenterUnderline"/>
        <w:ind w:firstLine="720"/>
        <w:jc w:val="both"/>
        <w:rPr>
          <w:u w:val="none"/>
        </w:rPr>
      </w:pPr>
      <w:r>
        <w:rPr>
          <w:u w:val="none"/>
        </w:rPr>
        <w:t>On May 15, 2026,</w:t>
      </w:r>
      <w:r w:rsidRPr="00A766BF">
        <w:rPr>
          <w:u w:val="none"/>
        </w:rPr>
        <w:t xml:space="preserve"> Florida Rising, Inc. (FR) requested intervention in this docket.</w:t>
      </w:r>
      <w:r>
        <w:rPr>
          <w:u w:val="none"/>
        </w:rPr>
        <w:t xml:space="preserve"> FR’s request for intervention</w:t>
      </w:r>
      <w:r w:rsidR="00A766BF" w:rsidRPr="00A766BF">
        <w:rPr>
          <w:u w:val="none"/>
        </w:rPr>
        <w:t xml:space="preserve"> </w:t>
      </w:r>
      <w:r w:rsidR="00BC7289">
        <w:rPr>
          <w:u w:val="none"/>
        </w:rPr>
        <w:t xml:space="preserve">was granted </w:t>
      </w:r>
      <w:r w:rsidR="00A766BF" w:rsidRPr="00A766BF">
        <w:rPr>
          <w:u w:val="none"/>
        </w:rPr>
        <w:t>by Order No. PSC-2026-0</w:t>
      </w:r>
      <w:r>
        <w:rPr>
          <w:u w:val="none"/>
        </w:rPr>
        <w:t>233</w:t>
      </w:r>
      <w:r w:rsidR="00A766BF" w:rsidRPr="00A766BF">
        <w:rPr>
          <w:u w:val="none"/>
        </w:rPr>
        <w:t>-PCO-EI</w:t>
      </w:r>
      <w:r w:rsidRPr="00D5048C">
        <w:rPr>
          <w:u w:val="none"/>
        </w:rPr>
        <w:t xml:space="preserve"> </w:t>
      </w:r>
      <w:r>
        <w:rPr>
          <w:u w:val="none"/>
        </w:rPr>
        <w:t>on June 23, 2026</w:t>
      </w:r>
      <w:r w:rsidR="00A766BF" w:rsidRPr="00A766BF">
        <w:rPr>
          <w:u w:val="none"/>
        </w:rPr>
        <w:t xml:space="preserve">, </w:t>
      </w:r>
      <w:bookmarkStart w:id="6" w:name="_Hlk233364877"/>
      <w:r w:rsidRPr="00D5048C">
        <w:rPr>
          <w:u w:val="none"/>
        </w:rPr>
        <w:t>subject to proof of standing or stipulations that there are sufficient</w:t>
      </w:r>
      <w:r>
        <w:rPr>
          <w:u w:val="none"/>
        </w:rPr>
        <w:t xml:space="preserve"> </w:t>
      </w:r>
      <w:r w:rsidRPr="00D5048C">
        <w:rPr>
          <w:u w:val="none"/>
        </w:rPr>
        <w:t>facts to support all elements for standing</w:t>
      </w:r>
      <w:bookmarkEnd w:id="6"/>
      <w:r w:rsidR="00A766BF" w:rsidRPr="00A766BF">
        <w:rPr>
          <w:u w:val="none"/>
        </w:rPr>
        <w:t>.</w:t>
      </w:r>
      <w:r>
        <w:rPr>
          <w:u w:val="none"/>
        </w:rPr>
        <w:t xml:space="preserve"> </w:t>
      </w:r>
      <w:r w:rsidR="00BC7289">
        <w:rPr>
          <w:u w:val="none"/>
        </w:rPr>
        <w:t>FR</w:t>
      </w:r>
      <w:r>
        <w:rPr>
          <w:u w:val="none"/>
        </w:rPr>
        <w:t xml:space="preserve"> served its First Request for Production of Documents (Nos. 1-7)</w:t>
      </w:r>
      <w:r w:rsidR="00810310">
        <w:rPr>
          <w:rStyle w:val="FootnoteReference"/>
          <w:u w:val="none"/>
        </w:rPr>
        <w:footnoteReference w:id="1"/>
      </w:r>
      <w:r>
        <w:rPr>
          <w:u w:val="none"/>
        </w:rPr>
        <w:t xml:space="preserve"> </w:t>
      </w:r>
      <w:r w:rsidR="00384115">
        <w:rPr>
          <w:u w:val="none"/>
        </w:rPr>
        <w:t>and Second Request for Production of Documents (Nos. 8-14)</w:t>
      </w:r>
      <w:r w:rsidR="00810310">
        <w:rPr>
          <w:rStyle w:val="FootnoteReference"/>
          <w:u w:val="none"/>
        </w:rPr>
        <w:footnoteReference w:id="2"/>
      </w:r>
      <w:r w:rsidR="00384115">
        <w:rPr>
          <w:u w:val="none"/>
        </w:rPr>
        <w:t xml:space="preserve"> </w:t>
      </w:r>
      <w:r w:rsidR="00810310">
        <w:rPr>
          <w:u w:val="none"/>
        </w:rPr>
        <w:t xml:space="preserve">upon </w:t>
      </w:r>
      <w:r>
        <w:rPr>
          <w:u w:val="none"/>
        </w:rPr>
        <w:t>DEF</w:t>
      </w:r>
      <w:r w:rsidR="00810310">
        <w:rPr>
          <w:u w:val="none"/>
        </w:rPr>
        <w:t xml:space="preserve">, to which </w:t>
      </w:r>
      <w:r>
        <w:rPr>
          <w:u w:val="none"/>
        </w:rPr>
        <w:t xml:space="preserve">DEF served </w:t>
      </w:r>
      <w:r w:rsidR="00810310">
        <w:rPr>
          <w:u w:val="none"/>
        </w:rPr>
        <w:t xml:space="preserve">its </w:t>
      </w:r>
      <w:r w:rsidR="00277B36">
        <w:rPr>
          <w:u w:val="none"/>
        </w:rPr>
        <w:t>responses and objections.</w:t>
      </w:r>
      <w:r w:rsidR="00810310">
        <w:rPr>
          <w:rStyle w:val="FootnoteReference"/>
          <w:u w:val="none"/>
        </w:rPr>
        <w:footnoteReference w:id="3"/>
      </w:r>
      <w:r w:rsidR="00BC7289">
        <w:rPr>
          <w:u w:val="none"/>
        </w:rPr>
        <w:t xml:space="preserve"> On June 3, 2026, FR filed a Motion to Compel DEF’s Response to Discovery (Motion to Compel), requesting that DEF be compelled to answer FR’s Requests for Productions Nos. 3-6 and 9. DEF filed a response in opposition </w:t>
      </w:r>
      <w:r w:rsidR="001D5CC7">
        <w:rPr>
          <w:u w:val="none"/>
        </w:rPr>
        <w:t xml:space="preserve">to </w:t>
      </w:r>
      <w:r w:rsidR="00BC7289">
        <w:rPr>
          <w:u w:val="none"/>
        </w:rPr>
        <w:t>the Motion to Compel on June 10, 2026. Since filing the Motion to Compel, FR has confirmed that its requests to compel DEF to answer Request Nos. 5-6 and 9 are now moot after discussions with DEF and receipt of documents. Therefore, only Request Nos. 3 and 4 remain at issue regarding the Motion to Compel.</w:t>
      </w:r>
    </w:p>
    <w:p w14:paraId="4665156B" w14:textId="77777777" w:rsidR="009C58A7" w:rsidRDefault="009C58A7" w:rsidP="00384115">
      <w:pPr>
        <w:pStyle w:val="CenterUnderline"/>
        <w:ind w:firstLine="720"/>
        <w:jc w:val="both"/>
        <w:rPr>
          <w:u w:val="none"/>
        </w:rPr>
      </w:pPr>
    </w:p>
    <w:p w14:paraId="4C956B5F" w14:textId="416420AD" w:rsidR="009C58A7" w:rsidRDefault="009C58A7" w:rsidP="009C58A7">
      <w:pPr>
        <w:pStyle w:val="CenterUnderline"/>
        <w:ind w:firstLine="720"/>
        <w:jc w:val="both"/>
        <w:rPr>
          <w:u w:val="none"/>
        </w:rPr>
      </w:pPr>
      <w:r w:rsidRPr="009C58A7">
        <w:rPr>
          <w:u w:val="none"/>
        </w:rPr>
        <w:t>This Order is issued pursuant to the authority granted by Rule 28-106.211, Florida</w:t>
      </w:r>
      <w:r>
        <w:rPr>
          <w:u w:val="none"/>
        </w:rPr>
        <w:t xml:space="preserve"> </w:t>
      </w:r>
      <w:r w:rsidRPr="009C58A7">
        <w:rPr>
          <w:u w:val="none"/>
        </w:rPr>
        <w:t>Administrative Code (F.A.C.), which provides that the presiding officer before whom a case is</w:t>
      </w:r>
      <w:r>
        <w:rPr>
          <w:u w:val="none"/>
        </w:rPr>
        <w:t xml:space="preserve"> </w:t>
      </w:r>
      <w:r w:rsidRPr="009C58A7">
        <w:rPr>
          <w:u w:val="none"/>
        </w:rPr>
        <w:t>pending may issue any orders necessary to effectuate discovery, prevent delay, and promote the</w:t>
      </w:r>
      <w:r>
        <w:rPr>
          <w:u w:val="none"/>
        </w:rPr>
        <w:t xml:space="preserve"> </w:t>
      </w:r>
      <w:r w:rsidRPr="009C58A7">
        <w:rPr>
          <w:u w:val="none"/>
        </w:rPr>
        <w:t>just, speedy, and inexpensive determination of all aspects of the case.</w:t>
      </w:r>
    </w:p>
    <w:p w14:paraId="34959D61" w14:textId="77777777" w:rsidR="00384115" w:rsidRDefault="00384115" w:rsidP="00D5048C">
      <w:pPr>
        <w:pStyle w:val="CenterUnderline"/>
        <w:ind w:firstLine="720"/>
        <w:jc w:val="both"/>
        <w:rPr>
          <w:u w:val="none"/>
        </w:rPr>
      </w:pPr>
    </w:p>
    <w:p w14:paraId="70F21D91" w14:textId="77777777" w:rsidR="00BC7289" w:rsidRDefault="00BC7289" w:rsidP="00D5048C">
      <w:pPr>
        <w:pStyle w:val="CenterUnderline"/>
        <w:ind w:firstLine="720"/>
        <w:jc w:val="both"/>
        <w:rPr>
          <w:u w:val="none"/>
        </w:rPr>
      </w:pPr>
    </w:p>
    <w:p w14:paraId="3C05B137" w14:textId="6DF8BBD7" w:rsidR="00D5048C" w:rsidRPr="00D5048C" w:rsidRDefault="00D5048C" w:rsidP="00D5048C">
      <w:pPr>
        <w:pStyle w:val="CenterUnderline"/>
        <w:jc w:val="both"/>
        <w:rPr>
          <w:u w:val="none"/>
        </w:rPr>
      </w:pPr>
      <w:r>
        <w:lastRenderedPageBreak/>
        <w:t>Motion to Compel Discovery</w:t>
      </w:r>
    </w:p>
    <w:p w14:paraId="746EB458" w14:textId="77777777" w:rsidR="006F7138" w:rsidRDefault="006F7138" w:rsidP="006F7138">
      <w:pPr>
        <w:pStyle w:val="CenterUnderline"/>
        <w:jc w:val="both"/>
        <w:rPr>
          <w:u w:val="none"/>
        </w:rPr>
      </w:pPr>
    </w:p>
    <w:p w14:paraId="1EC84B70" w14:textId="4750AF3A" w:rsidR="0059741D" w:rsidRDefault="00384115" w:rsidP="006F7138">
      <w:pPr>
        <w:pStyle w:val="CenterUnderline"/>
        <w:jc w:val="both"/>
        <w:rPr>
          <w:u w:val="none"/>
        </w:rPr>
      </w:pPr>
      <w:r>
        <w:rPr>
          <w:u w:val="none"/>
        </w:rPr>
        <w:tab/>
      </w:r>
      <w:r w:rsidR="00810310">
        <w:rPr>
          <w:u w:val="none"/>
        </w:rPr>
        <w:t xml:space="preserve">Generally, Request No. 3 seeks </w:t>
      </w:r>
      <w:r w:rsidR="00FF5584">
        <w:rPr>
          <w:u w:val="none"/>
        </w:rPr>
        <w:t xml:space="preserve">production of </w:t>
      </w:r>
      <w:r w:rsidR="00810310">
        <w:rPr>
          <w:u w:val="none"/>
        </w:rPr>
        <w:t>cost estimates to serve customers, prospective or otherwise, that would be subject to D</w:t>
      </w:r>
      <w:r w:rsidR="00326A62">
        <w:rPr>
          <w:u w:val="none"/>
        </w:rPr>
        <w:t>EF</w:t>
      </w:r>
      <w:r w:rsidR="00810310">
        <w:rPr>
          <w:u w:val="none"/>
        </w:rPr>
        <w:t xml:space="preserve">’s proposed Large Load Customer Policy (LLCP) and Request No. 4 seeks </w:t>
      </w:r>
      <w:r w:rsidR="00FF5584">
        <w:rPr>
          <w:u w:val="none"/>
        </w:rPr>
        <w:t xml:space="preserve">production of all </w:t>
      </w:r>
      <w:r w:rsidR="00810310">
        <w:rPr>
          <w:u w:val="none"/>
        </w:rPr>
        <w:t xml:space="preserve">documents including possible generation additions to serve such customers. </w:t>
      </w:r>
      <w:r>
        <w:rPr>
          <w:u w:val="none"/>
        </w:rPr>
        <w:t>FR argues that the discovery it seeks is directly relevant and relates to the heart of the matter in this docket.</w:t>
      </w:r>
    </w:p>
    <w:p w14:paraId="2FC67AAD" w14:textId="77777777" w:rsidR="009C58A7" w:rsidRDefault="009C58A7" w:rsidP="006F7138">
      <w:pPr>
        <w:pStyle w:val="CenterUnderline"/>
        <w:jc w:val="both"/>
        <w:rPr>
          <w:u w:val="none"/>
        </w:rPr>
      </w:pPr>
    </w:p>
    <w:p w14:paraId="480AC652" w14:textId="61B749C2" w:rsidR="009C58A7" w:rsidRPr="009C58A7" w:rsidRDefault="009C58A7" w:rsidP="006F7138">
      <w:pPr>
        <w:pStyle w:val="CenterUnderline"/>
        <w:jc w:val="both"/>
      </w:pPr>
      <w:r>
        <w:rPr>
          <w:u w:val="none"/>
        </w:rPr>
        <w:tab/>
      </w:r>
      <w:r w:rsidRPr="009C58A7">
        <w:t>Request for Production No. 3</w:t>
      </w:r>
    </w:p>
    <w:p w14:paraId="36DD976C" w14:textId="77777777" w:rsidR="009C58A7" w:rsidRDefault="009C58A7" w:rsidP="006F7138">
      <w:pPr>
        <w:pStyle w:val="CenterUnderline"/>
        <w:jc w:val="both"/>
        <w:rPr>
          <w:u w:val="none"/>
        </w:rPr>
      </w:pPr>
    </w:p>
    <w:p w14:paraId="16C21D19" w14:textId="74DE7F29" w:rsidR="009C58A7" w:rsidRDefault="009C58A7" w:rsidP="006F7138">
      <w:pPr>
        <w:pStyle w:val="CenterUnderline"/>
        <w:jc w:val="both"/>
        <w:rPr>
          <w:u w:val="none"/>
        </w:rPr>
      </w:pPr>
      <w:r>
        <w:rPr>
          <w:u w:val="none"/>
        </w:rPr>
        <w:tab/>
      </w:r>
      <w:r w:rsidR="00FF5584">
        <w:rPr>
          <w:u w:val="none"/>
        </w:rPr>
        <w:t xml:space="preserve">FR argues that the costs of service for large load customers is relevant because Section 366.043(3)(a), F.S., requires tariffs for large load customers to “reasonably ensure that each large load customer bears its own full cost of service and that such cost is not shifted to the general body of ratepayers.” FR asserts that, because the subject of DEF’s petition is a tariff concerning service of electricity to large load customers, </w:t>
      </w:r>
      <w:r w:rsidR="009C5C41">
        <w:rPr>
          <w:u w:val="none"/>
        </w:rPr>
        <w:t>DEF’s tariff must consider the estimated costs to serve such customers in order to properly divvy up cost responsibilities as required by Section 366.043(3)(a)</w:t>
      </w:r>
      <w:r w:rsidR="00644783">
        <w:rPr>
          <w:u w:val="none"/>
        </w:rPr>
        <w:t>, F.S.</w:t>
      </w:r>
      <w:r w:rsidR="009C5C41">
        <w:rPr>
          <w:u w:val="none"/>
        </w:rPr>
        <w:t xml:space="preserve"> </w:t>
      </w:r>
      <w:r w:rsidR="00644783">
        <w:rPr>
          <w:u w:val="none"/>
        </w:rPr>
        <w:t xml:space="preserve">FR states that Request No. 3 attempts to determine if DEF’s petition complies with the new statute. FR argues that, for the reasons above, </w:t>
      </w:r>
      <w:r w:rsidR="00FF5584">
        <w:rPr>
          <w:u w:val="none"/>
        </w:rPr>
        <w:t>Request No. 3 is relevant, reasonably calculated to lead to the discovery of admissible evidence, and within the scope of this proceeding.</w:t>
      </w:r>
    </w:p>
    <w:p w14:paraId="33D357DC" w14:textId="77777777" w:rsidR="009C58A7" w:rsidRDefault="009C58A7" w:rsidP="006F7138">
      <w:pPr>
        <w:pStyle w:val="CenterUnderline"/>
        <w:jc w:val="both"/>
        <w:rPr>
          <w:u w:val="none"/>
        </w:rPr>
      </w:pPr>
    </w:p>
    <w:p w14:paraId="69780114" w14:textId="40FECB1E" w:rsidR="009C58A7" w:rsidRPr="009C58A7" w:rsidRDefault="009C58A7" w:rsidP="009C58A7">
      <w:pPr>
        <w:pStyle w:val="CenterUnderline"/>
        <w:ind w:firstLine="720"/>
        <w:jc w:val="both"/>
      </w:pPr>
      <w:r w:rsidRPr="009C58A7">
        <w:t>Request for Production No. 4</w:t>
      </w:r>
    </w:p>
    <w:p w14:paraId="2E2D4E97" w14:textId="77777777" w:rsidR="0059741D" w:rsidRDefault="0059741D" w:rsidP="006F7138">
      <w:pPr>
        <w:pStyle w:val="CenterUnderline"/>
        <w:jc w:val="both"/>
        <w:rPr>
          <w:u w:val="none"/>
        </w:rPr>
      </w:pPr>
    </w:p>
    <w:p w14:paraId="2CCA292C" w14:textId="1D4760DC" w:rsidR="009C58A7" w:rsidRDefault="00FF5584" w:rsidP="00057A01">
      <w:pPr>
        <w:pStyle w:val="CenterUnderline"/>
        <w:ind w:firstLine="720"/>
        <w:jc w:val="both"/>
        <w:rPr>
          <w:u w:val="none"/>
        </w:rPr>
      </w:pPr>
      <w:r>
        <w:rPr>
          <w:u w:val="none"/>
        </w:rPr>
        <w:t xml:space="preserve">FR argues that documents including possible generation additions for large load customers </w:t>
      </w:r>
      <w:r w:rsidR="00742EBD">
        <w:rPr>
          <w:u w:val="none"/>
        </w:rPr>
        <w:t>is relevant because Section 366.043(3)(a), F.S., requires DEF’s tariff to reasonably ensure that costs of service for large load customers is fully covered by those customers. FR further argues that DEF’s ability to serve large load customers depends on its plans to increase its generation capacity</w:t>
      </w:r>
      <w:r w:rsidR="00903453">
        <w:rPr>
          <w:u w:val="none"/>
        </w:rPr>
        <w:t xml:space="preserve">. FR </w:t>
      </w:r>
      <w:r w:rsidR="00742EBD">
        <w:rPr>
          <w:u w:val="none"/>
        </w:rPr>
        <w:t xml:space="preserve">asserts that without a properly structured tariff, </w:t>
      </w:r>
      <w:r w:rsidR="00903453">
        <w:rPr>
          <w:u w:val="none"/>
        </w:rPr>
        <w:t>rate increases could occur for customers who are not receiving large loads, which would contravene the requirements of Section 366.043, F.S.</w:t>
      </w:r>
      <w:r w:rsidR="00742EBD">
        <w:rPr>
          <w:u w:val="none"/>
        </w:rPr>
        <w:t xml:space="preserve"> For the reasons above, FR asserts that Request No. </w:t>
      </w:r>
      <w:r w:rsidR="00A01C4F">
        <w:rPr>
          <w:u w:val="none"/>
        </w:rPr>
        <w:t>4</w:t>
      </w:r>
      <w:r w:rsidR="00742EBD">
        <w:rPr>
          <w:u w:val="none"/>
        </w:rPr>
        <w:t xml:space="preserve"> is relevant and reasonably calculated to lead to the discovery of admissible evidence.</w:t>
      </w:r>
    </w:p>
    <w:p w14:paraId="55BA1E7A" w14:textId="77777777" w:rsidR="009C58A7" w:rsidRDefault="009C58A7" w:rsidP="006F7138">
      <w:pPr>
        <w:pStyle w:val="CenterUnderline"/>
        <w:jc w:val="both"/>
        <w:rPr>
          <w:u w:val="none"/>
        </w:rPr>
      </w:pPr>
    </w:p>
    <w:p w14:paraId="0F11AE85" w14:textId="467F33F8" w:rsidR="00D5048C" w:rsidRPr="0059741D" w:rsidRDefault="0059741D" w:rsidP="006F7138">
      <w:pPr>
        <w:pStyle w:val="CenterUnderline"/>
        <w:jc w:val="both"/>
        <w:rPr>
          <w:u w:val="none"/>
        </w:rPr>
      </w:pPr>
      <w:r>
        <w:t>DEF’s Response to the Motion</w:t>
      </w:r>
    </w:p>
    <w:p w14:paraId="7B732FA3" w14:textId="77777777" w:rsidR="00D5048C" w:rsidRDefault="00D5048C" w:rsidP="006F7138">
      <w:pPr>
        <w:pStyle w:val="CenterUnderline"/>
        <w:jc w:val="both"/>
        <w:rPr>
          <w:u w:val="none"/>
        </w:rPr>
      </w:pPr>
    </w:p>
    <w:p w14:paraId="0AAF9215" w14:textId="7A632760" w:rsidR="003D3C2C" w:rsidRDefault="00130E9E" w:rsidP="003D3C2C">
      <w:pPr>
        <w:pStyle w:val="CenterUnderline"/>
        <w:jc w:val="both"/>
        <w:rPr>
          <w:u w:val="none"/>
        </w:rPr>
      </w:pPr>
      <w:r>
        <w:rPr>
          <w:u w:val="none"/>
        </w:rPr>
        <w:tab/>
      </w:r>
      <w:r w:rsidR="003458BA">
        <w:rPr>
          <w:u w:val="none"/>
        </w:rPr>
        <w:t xml:space="preserve">DEF argues that it is only requesting tariff language and service requirements be approved in its petition, pursuant to </w:t>
      </w:r>
      <w:r w:rsidR="00326A62">
        <w:rPr>
          <w:u w:val="none"/>
        </w:rPr>
        <w:t>the requirements of SB 484</w:t>
      </w:r>
      <w:r w:rsidR="003458BA">
        <w:rPr>
          <w:u w:val="none"/>
        </w:rPr>
        <w:t xml:space="preserve">, and it is not seeking </w:t>
      </w:r>
      <w:r w:rsidR="00817FBF">
        <w:rPr>
          <w:u w:val="none"/>
        </w:rPr>
        <w:t xml:space="preserve">approval of any </w:t>
      </w:r>
      <w:r w:rsidR="00817FBF" w:rsidRPr="00817FBF">
        <w:rPr>
          <w:u w:val="none"/>
        </w:rPr>
        <w:t>c</w:t>
      </w:r>
      <w:r w:rsidR="00817FBF">
        <w:rPr>
          <w:u w:val="none"/>
        </w:rPr>
        <w:t>os</w:t>
      </w:r>
      <w:r w:rsidR="00817FBF" w:rsidRPr="00817FBF">
        <w:rPr>
          <w:u w:val="none"/>
        </w:rPr>
        <w:t>ts, cost allocation methodologies, generation projects, or rate schedules</w:t>
      </w:r>
      <w:r w:rsidR="003458BA">
        <w:rPr>
          <w:u w:val="none"/>
        </w:rPr>
        <w:t xml:space="preserve"> </w:t>
      </w:r>
      <w:r w:rsidR="00817FBF">
        <w:rPr>
          <w:u w:val="none"/>
        </w:rPr>
        <w:t>aside from identifying that large load customers will be initially receiving service under the previously-approved GSD-1 and GSDT-1 rates.</w:t>
      </w:r>
      <w:r w:rsidR="00817FBF">
        <w:rPr>
          <w:rStyle w:val="FootnoteReference"/>
          <w:u w:val="none"/>
        </w:rPr>
        <w:footnoteReference w:id="4"/>
      </w:r>
      <w:r w:rsidR="00817FBF">
        <w:rPr>
          <w:u w:val="none"/>
        </w:rPr>
        <w:t xml:space="preserve"> DEF notes that within its proposal, the rate schedule for large loads states that large load customers will stay under GSD-1 and GSDT-1 rates until after the Commission approves a new large load rate schedule in its next rate proceeding “which shall reasonably ensure </w:t>
      </w:r>
      <w:r w:rsidR="00817FBF" w:rsidRPr="00817FBF">
        <w:rPr>
          <w:u w:val="none"/>
        </w:rPr>
        <w:t xml:space="preserve">that </w:t>
      </w:r>
      <w:r w:rsidR="00817FBF">
        <w:rPr>
          <w:u w:val="none"/>
        </w:rPr>
        <w:t>[large load customers]</w:t>
      </w:r>
      <w:r w:rsidR="00817FBF" w:rsidRPr="00817FBF">
        <w:rPr>
          <w:u w:val="none"/>
        </w:rPr>
        <w:t xml:space="preserve"> bears its</w:t>
      </w:r>
      <w:r w:rsidR="00817FBF">
        <w:rPr>
          <w:u w:val="none"/>
        </w:rPr>
        <w:t xml:space="preserve"> o</w:t>
      </w:r>
      <w:r w:rsidR="00817FBF" w:rsidRPr="00817FBF">
        <w:rPr>
          <w:u w:val="none"/>
        </w:rPr>
        <w:t>wn full cost of service</w:t>
      </w:r>
      <w:r w:rsidR="00817FBF">
        <w:rPr>
          <w:u w:val="none"/>
        </w:rPr>
        <w:t>.”</w:t>
      </w:r>
      <w:r w:rsidR="00817FBF">
        <w:rPr>
          <w:rStyle w:val="FootnoteReference"/>
          <w:u w:val="none"/>
        </w:rPr>
        <w:footnoteReference w:id="5"/>
      </w:r>
      <w:r w:rsidR="00C463D3">
        <w:rPr>
          <w:u w:val="none"/>
        </w:rPr>
        <w:t xml:space="preserve"> </w:t>
      </w:r>
      <w:r w:rsidR="003D3C2C">
        <w:rPr>
          <w:u w:val="none"/>
        </w:rPr>
        <w:t xml:space="preserve">DEF argues </w:t>
      </w:r>
      <w:r w:rsidR="003D3C2C">
        <w:rPr>
          <w:u w:val="none"/>
        </w:rPr>
        <w:lastRenderedPageBreak/>
        <w:t xml:space="preserve">that this approach can reasonably ensure the Commission that </w:t>
      </w:r>
      <w:r w:rsidR="003D3C2C" w:rsidRPr="003D3C2C">
        <w:rPr>
          <w:u w:val="none"/>
        </w:rPr>
        <w:t>large load customer</w:t>
      </w:r>
      <w:r w:rsidR="003D3C2C">
        <w:rPr>
          <w:u w:val="none"/>
        </w:rPr>
        <w:t>s</w:t>
      </w:r>
      <w:r w:rsidR="003D3C2C" w:rsidRPr="003D3C2C">
        <w:rPr>
          <w:u w:val="none"/>
        </w:rPr>
        <w:t xml:space="preserve"> </w:t>
      </w:r>
      <w:r w:rsidR="003D3C2C">
        <w:rPr>
          <w:u w:val="none"/>
        </w:rPr>
        <w:t>will bear their</w:t>
      </w:r>
      <w:r w:rsidR="003D3C2C" w:rsidRPr="003D3C2C">
        <w:rPr>
          <w:u w:val="none"/>
        </w:rPr>
        <w:t xml:space="preserve"> own cost</w:t>
      </w:r>
      <w:r w:rsidR="003D3C2C">
        <w:rPr>
          <w:u w:val="none"/>
        </w:rPr>
        <w:t>s</w:t>
      </w:r>
      <w:r w:rsidR="003D3C2C" w:rsidRPr="003D3C2C">
        <w:rPr>
          <w:u w:val="none"/>
        </w:rPr>
        <w:t xml:space="preserve"> of service and cost</w:t>
      </w:r>
      <w:r w:rsidR="003D3C2C">
        <w:rPr>
          <w:u w:val="none"/>
        </w:rPr>
        <w:t>s</w:t>
      </w:r>
      <w:r w:rsidR="003D3C2C" w:rsidRPr="003D3C2C">
        <w:rPr>
          <w:u w:val="none"/>
        </w:rPr>
        <w:t xml:space="preserve"> </w:t>
      </w:r>
      <w:r w:rsidR="003D3C2C">
        <w:rPr>
          <w:u w:val="none"/>
        </w:rPr>
        <w:t xml:space="preserve">will </w:t>
      </w:r>
      <w:r w:rsidR="003D3C2C" w:rsidRPr="003D3C2C">
        <w:rPr>
          <w:u w:val="none"/>
        </w:rPr>
        <w:t xml:space="preserve">not </w:t>
      </w:r>
      <w:r w:rsidR="003D3C2C">
        <w:rPr>
          <w:u w:val="none"/>
        </w:rPr>
        <w:t xml:space="preserve">be </w:t>
      </w:r>
      <w:r w:rsidR="003D3C2C" w:rsidRPr="003D3C2C">
        <w:rPr>
          <w:u w:val="none"/>
        </w:rPr>
        <w:t>shifted to the</w:t>
      </w:r>
      <w:r w:rsidR="003D3C2C">
        <w:rPr>
          <w:u w:val="none"/>
        </w:rPr>
        <w:t xml:space="preserve"> </w:t>
      </w:r>
      <w:r w:rsidR="003D3C2C" w:rsidRPr="003D3C2C">
        <w:rPr>
          <w:u w:val="none"/>
        </w:rPr>
        <w:t>general body of ratepayers</w:t>
      </w:r>
      <w:r w:rsidR="003D3C2C">
        <w:rPr>
          <w:u w:val="none"/>
        </w:rPr>
        <w:t xml:space="preserve">, and that the Commission can make this finding without </w:t>
      </w:r>
      <w:r w:rsidR="003D3C2C" w:rsidRPr="003D3C2C">
        <w:rPr>
          <w:u w:val="none"/>
        </w:rPr>
        <w:t>cost estimates and cost of service studies</w:t>
      </w:r>
      <w:r w:rsidR="003D3C2C">
        <w:rPr>
          <w:u w:val="none"/>
        </w:rPr>
        <w:t>.</w:t>
      </w:r>
    </w:p>
    <w:p w14:paraId="3933FA69" w14:textId="77777777" w:rsidR="0059741D" w:rsidRDefault="0059741D" w:rsidP="006F7138">
      <w:pPr>
        <w:pStyle w:val="CenterUnderline"/>
        <w:jc w:val="both"/>
        <w:rPr>
          <w:u w:val="none"/>
        </w:rPr>
      </w:pPr>
    </w:p>
    <w:p w14:paraId="4780996D" w14:textId="4C162D46" w:rsidR="006F7138" w:rsidRPr="00D5048C" w:rsidRDefault="00D5048C" w:rsidP="006F7138">
      <w:pPr>
        <w:pStyle w:val="CenterUnderline"/>
        <w:jc w:val="both"/>
      </w:pPr>
      <w:r w:rsidRPr="00D5048C">
        <w:t>Analysis</w:t>
      </w:r>
      <w:r w:rsidR="00D53E9E">
        <w:t xml:space="preserve"> and Decision</w:t>
      </w:r>
    </w:p>
    <w:p w14:paraId="4384FC55" w14:textId="77777777" w:rsidR="00CC1E55" w:rsidRDefault="00CC1E55" w:rsidP="00A766BF">
      <w:pPr>
        <w:pStyle w:val="ListParagraph"/>
        <w:ind w:left="0"/>
        <w:jc w:val="both"/>
        <w:rPr>
          <w:rFonts w:ascii="Times New Roman" w:hAnsi="Times New Roman"/>
          <w:iCs/>
          <w:color w:val="212121"/>
        </w:rPr>
      </w:pPr>
    </w:p>
    <w:p w14:paraId="3024D538" w14:textId="6438B5B3" w:rsidR="0059741D" w:rsidRPr="0059741D" w:rsidRDefault="0059741D" w:rsidP="0059741D">
      <w:pPr>
        <w:ind w:firstLine="720"/>
        <w:jc w:val="both"/>
        <w:rPr>
          <w:iCs/>
          <w:color w:val="212121"/>
        </w:rPr>
      </w:pPr>
      <w:r w:rsidRPr="0059741D">
        <w:rPr>
          <w:iCs/>
          <w:color w:val="212121"/>
        </w:rPr>
        <w:t>Rule 28-106.206, F.A.C., provides:</w:t>
      </w:r>
    </w:p>
    <w:p w14:paraId="26C13666" w14:textId="77777777" w:rsidR="0059741D" w:rsidRPr="0059741D" w:rsidRDefault="0059741D" w:rsidP="0059741D">
      <w:pPr>
        <w:pStyle w:val="ListParagraph"/>
        <w:jc w:val="both"/>
        <w:rPr>
          <w:rFonts w:ascii="Times New Roman" w:hAnsi="Times New Roman"/>
          <w:iCs/>
          <w:color w:val="212121"/>
        </w:rPr>
      </w:pPr>
    </w:p>
    <w:p w14:paraId="46771F86" w14:textId="6CEDD5D3" w:rsidR="0059741D" w:rsidRPr="0059741D" w:rsidRDefault="0059741D" w:rsidP="009C58A7">
      <w:pPr>
        <w:pStyle w:val="ListParagraph"/>
        <w:ind w:right="720"/>
        <w:jc w:val="both"/>
        <w:rPr>
          <w:rFonts w:ascii="Times New Roman" w:hAnsi="Times New Roman"/>
          <w:iCs/>
          <w:color w:val="212121"/>
        </w:rPr>
      </w:pPr>
      <w:r w:rsidRPr="0059741D">
        <w:rPr>
          <w:rFonts w:ascii="Times New Roman" w:hAnsi="Times New Roman"/>
          <w:iCs/>
          <w:color w:val="212121"/>
        </w:rPr>
        <w:t>After commencement of a proceeding, parties may obtain discovery through the</w:t>
      </w:r>
      <w:r w:rsidR="009C58A7">
        <w:rPr>
          <w:rFonts w:ascii="Times New Roman" w:hAnsi="Times New Roman"/>
          <w:iCs/>
          <w:color w:val="212121"/>
        </w:rPr>
        <w:t xml:space="preserve"> </w:t>
      </w:r>
      <w:r w:rsidRPr="0059741D">
        <w:rPr>
          <w:rFonts w:ascii="Times New Roman" w:hAnsi="Times New Roman"/>
          <w:iCs/>
          <w:color w:val="212121"/>
        </w:rPr>
        <w:t>means and in the manner provided in Rules 1.280 through 1.400, Florida Rules of</w:t>
      </w:r>
      <w:r w:rsidR="009C58A7">
        <w:rPr>
          <w:rFonts w:ascii="Times New Roman" w:hAnsi="Times New Roman"/>
          <w:iCs/>
          <w:color w:val="212121"/>
        </w:rPr>
        <w:t xml:space="preserve"> </w:t>
      </w:r>
      <w:r w:rsidRPr="0059741D">
        <w:rPr>
          <w:rFonts w:ascii="Times New Roman" w:hAnsi="Times New Roman"/>
          <w:iCs/>
          <w:color w:val="212121"/>
        </w:rPr>
        <w:t>Civil Procedure. The presiding officer may issue appropriate orders to effectuate</w:t>
      </w:r>
      <w:r w:rsidR="009C58A7">
        <w:rPr>
          <w:rFonts w:ascii="Times New Roman" w:hAnsi="Times New Roman"/>
          <w:iCs/>
          <w:color w:val="212121"/>
        </w:rPr>
        <w:t xml:space="preserve"> </w:t>
      </w:r>
      <w:r w:rsidRPr="0059741D">
        <w:rPr>
          <w:rFonts w:ascii="Times New Roman" w:hAnsi="Times New Roman"/>
          <w:iCs/>
          <w:color w:val="212121"/>
        </w:rPr>
        <w:t>the purposes of discovery and to prevent delay, including the imposition of</w:t>
      </w:r>
      <w:r w:rsidR="009C58A7">
        <w:rPr>
          <w:rFonts w:ascii="Times New Roman" w:hAnsi="Times New Roman"/>
          <w:iCs/>
          <w:color w:val="212121"/>
        </w:rPr>
        <w:t xml:space="preserve"> </w:t>
      </w:r>
      <w:r w:rsidRPr="0059741D">
        <w:rPr>
          <w:rFonts w:ascii="Times New Roman" w:hAnsi="Times New Roman"/>
          <w:iCs/>
          <w:color w:val="212121"/>
        </w:rPr>
        <w:t>sanctions in accordance with the Florida Rules of Civil Procedure, except</w:t>
      </w:r>
      <w:r w:rsidR="009C58A7">
        <w:rPr>
          <w:rFonts w:ascii="Times New Roman" w:hAnsi="Times New Roman"/>
          <w:iCs/>
          <w:color w:val="212121"/>
        </w:rPr>
        <w:t xml:space="preserve"> </w:t>
      </w:r>
      <w:r w:rsidRPr="0059741D">
        <w:rPr>
          <w:rFonts w:ascii="Times New Roman" w:hAnsi="Times New Roman"/>
          <w:iCs/>
          <w:color w:val="212121"/>
        </w:rPr>
        <w:t>contempt.</w:t>
      </w:r>
    </w:p>
    <w:p w14:paraId="729FD214" w14:textId="77777777" w:rsidR="0059741D" w:rsidRDefault="0059741D" w:rsidP="0059741D">
      <w:pPr>
        <w:jc w:val="both"/>
        <w:rPr>
          <w:iCs/>
          <w:color w:val="212121"/>
        </w:rPr>
      </w:pPr>
    </w:p>
    <w:p w14:paraId="73D56DE7" w14:textId="0F790214" w:rsidR="0059741D" w:rsidRDefault="009C58A7" w:rsidP="00810310">
      <w:pPr>
        <w:ind w:firstLine="720"/>
        <w:jc w:val="both"/>
        <w:rPr>
          <w:iCs/>
          <w:color w:val="212121"/>
        </w:rPr>
      </w:pPr>
      <w:r>
        <w:rPr>
          <w:iCs/>
          <w:color w:val="212121"/>
        </w:rPr>
        <w:t>The</w:t>
      </w:r>
      <w:r w:rsidR="0059741D" w:rsidRPr="0059741D">
        <w:rPr>
          <w:iCs/>
          <w:color w:val="212121"/>
        </w:rPr>
        <w:t xml:space="preserve"> scope of discovery is generally broad, </w:t>
      </w:r>
      <w:r>
        <w:rPr>
          <w:iCs/>
          <w:color w:val="212121"/>
        </w:rPr>
        <w:t xml:space="preserve">and </w:t>
      </w:r>
      <w:r w:rsidR="0059741D" w:rsidRPr="0059741D">
        <w:rPr>
          <w:iCs/>
          <w:color w:val="212121"/>
        </w:rPr>
        <w:t>courts possess “significant discretion” in</w:t>
      </w:r>
      <w:r w:rsidR="0059741D">
        <w:rPr>
          <w:iCs/>
          <w:color w:val="212121"/>
        </w:rPr>
        <w:t xml:space="preserve"> </w:t>
      </w:r>
      <w:r w:rsidR="0059741D" w:rsidRPr="0059741D">
        <w:rPr>
          <w:iCs/>
          <w:color w:val="212121"/>
        </w:rPr>
        <w:t xml:space="preserve">regulating the discovery process. </w:t>
      </w:r>
      <w:r w:rsidR="0059741D" w:rsidRPr="0059741D">
        <w:rPr>
          <w:i/>
          <w:color w:val="212121"/>
        </w:rPr>
        <w:t>Adkins v. Sotolongo</w:t>
      </w:r>
      <w:r w:rsidR="0059741D" w:rsidRPr="0059741D">
        <w:rPr>
          <w:iCs/>
          <w:color w:val="212121"/>
        </w:rPr>
        <w:t>, 337 So. 3d 110 (Fla. 3d DCA 2021). “The</w:t>
      </w:r>
      <w:r w:rsidR="0059741D">
        <w:rPr>
          <w:iCs/>
          <w:color w:val="212121"/>
        </w:rPr>
        <w:t xml:space="preserve"> </w:t>
      </w:r>
      <w:r w:rsidR="0059741D" w:rsidRPr="0059741D">
        <w:rPr>
          <w:iCs/>
          <w:color w:val="212121"/>
        </w:rPr>
        <w:t>trial court is given wide discretion in dealing with discovery matters, and unless there has been a</w:t>
      </w:r>
      <w:r w:rsidR="0059741D">
        <w:rPr>
          <w:iCs/>
          <w:color w:val="212121"/>
        </w:rPr>
        <w:t xml:space="preserve"> </w:t>
      </w:r>
      <w:r w:rsidR="0059741D" w:rsidRPr="0059741D">
        <w:rPr>
          <w:iCs/>
          <w:color w:val="212121"/>
        </w:rPr>
        <w:t>clear abuse of discretion, the trial court’s order will not be disturbed by the appellate court.”</w:t>
      </w:r>
      <w:r w:rsidR="0059741D">
        <w:rPr>
          <w:iCs/>
          <w:color w:val="212121"/>
        </w:rPr>
        <w:t xml:space="preserve"> </w:t>
      </w:r>
      <w:r w:rsidR="0059741D" w:rsidRPr="0059741D">
        <w:rPr>
          <w:i/>
          <w:color w:val="212121"/>
        </w:rPr>
        <w:t>American Funding, Ltd. v. Hill</w:t>
      </w:r>
      <w:r w:rsidR="0059741D" w:rsidRPr="0059741D">
        <w:rPr>
          <w:iCs/>
          <w:color w:val="212121"/>
        </w:rPr>
        <w:t>, 402 So.</w:t>
      </w:r>
      <w:r w:rsidR="00105BB2">
        <w:rPr>
          <w:iCs/>
          <w:color w:val="212121"/>
        </w:rPr>
        <w:t xml:space="preserve"> </w:t>
      </w:r>
      <w:r w:rsidR="0059741D" w:rsidRPr="0059741D">
        <w:rPr>
          <w:iCs/>
          <w:color w:val="212121"/>
        </w:rPr>
        <w:t>2d 1369, 1371 (Fla. 1st DCA 1981).</w:t>
      </w:r>
    </w:p>
    <w:p w14:paraId="68970578" w14:textId="77777777" w:rsidR="005D1A4D" w:rsidRDefault="005D1A4D" w:rsidP="00810310">
      <w:pPr>
        <w:ind w:firstLine="720"/>
        <w:jc w:val="both"/>
        <w:rPr>
          <w:iCs/>
          <w:color w:val="212121"/>
        </w:rPr>
      </w:pPr>
    </w:p>
    <w:p w14:paraId="61B41C2D" w14:textId="44AB3AA8" w:rsidR="005D1A4D" w:rsidRDefault="00644783" w:rsidP="00810310">
      <w:pPr>
        <w:ind w:firstLine="720"/>
        <w:jc w:val="both"/>
        <w:rPr>
          <w:iCs/>
          <w:color w:val="212121"/>
        </w:rPr>
      </w:pPr>
      <w:r>
        <w:rPr>
          <w:iCs/>
          <w:color w:val="212121"/>
        </w:rPr>
        <w:t xml:space="preserve">FR’s Requests Nos. 3 and 4 </w:t>
      </w:r>
      <w:r w:rsidR="001D5CC7">
        <w:rPr>
          <w:iCs/>
          <w:color w:val="212121"/>
        </w:rPr>
        <w:t xml:space="preserve">seek </w:t>
      </w:r>
      <w:r>
        <w:rPr>
          <w:iCs/>
          <w:color w:val="212121"/>
        </w:rPr>
        <w:t xml:space="preserve">information that is directly related to DEF’s petition and could be reasonably calculated to lead to admissible evidence regarding whether DEF’s proposed tariff is in compliance with the newly enacted </w:t>
      </w:r>
      <w:r w:rsidR="00105BB2">
        <w:rPr>
          <w:iCs/>
          <w:color w:val="212121"/>
        </w:rPr>
        <w:t>legislation</w:t>
      </w:r>
      <w:r>
        <w:rPr>
          <w:iCs/>
          <w:color w:val="212121"/>
        </w:rPr>
        <w:t>. Requests for estimated costs DEF could incur by serving large load customers, as well as possible generation additions DEF may require, are both directly related to the crafting of a large load tariff that seeks to comply with the new law.</w:t>
      </w:r>
    </w:p>
    <w:p w14:paraId="19493146" w14:textId="6326A90A" w:rsidR="009C58A7" w:rsidRDefault="009C58A7" w:rsidP="009C58A7">
      <w:pPr>
        <w:ind w:firstLine="720"/>
        <w:jc w:val="both"/>
        <w:rPr>
          <w:iCs/>
          <w:color w:val="212121"/>
        </w:rPr>
      </w:pPr>
    </w:p>
    <w:p w14:paraId="2A565BF3" w14:textId="01F1FA27" w:rsidR="009C58A7" w:rsidRDefault="007E2020" w:rsidP="00810310">
      <w:pPr>
        <w:ind w:firstLine="720"/>
        <w:jc w:val="both"/>
        <w:rPr>
          <w:iCs/>
          <w:color w:val="212121"/>
        </w:rPr>
      </w:pPr>
      <w:r>
        <w:rPr>
          <w:iCs/>
          <w:color w:val="212121"/>
        </w:rPr>
        <w:t xml:space="preserve">DEF’s argument </w:t>
      </w:r>
      <w:r w:rsidR="008101B9">
        <w:rPr>
          <w:iCs/>
          <w:color w:val="212121"/>
        </w:rPr>
        <w:t xml:space="preserve">is </w:t>
      </w:r>
      <w:r>
        <w:rPr>
          <w:iCs/>
          <w:color w:val="212121"/>
        </w:rPr>
        <w:t xml:space="preserve">that </w:t>
      </w:r>
      <w:r w:rsidR="00644783">
        <w:rPr>
          <w:iCs/>
          <w:color w:val="212121"/>
        </w:rPr>
        <w:t xml:space="preserve">the proposed tariff </w:t>
      </w:r>
      <w:r w:rsidR="001D5CC7">
        <w:rPr>
          <w:iCs/>
          <w:color w:val="212121"/>
        </w:rPr>
        <w:t>utilizes</w:t>
      </w:r>
      <w:r w:rsidR="00644783">
        <w:rPr>
          <w:iCs/>
          <w:color w:val="212121"/>
        </w:rPr>
        <w:t xml:space="preserve"> its existing, previously-approved rate classes until a new large load rate schedule is approved by this Commission</w:t>
      </w:r>
      <w:r w:rsidR="001D5CC7">
        <w:rPr>
          <w:iCs/>
          <w:color w:val="212121"/>
        </w:rPr>
        <w:t xml:space="preserve"> in a future rate case and, thus, the cost estimates and cost of service information are not yet necessary. However, the </w:t>
      </w:r>
      <w:r w:rsidR="00644783">
        <w:rPr>
          <w:iCs/>
          <w:color w:val="212121"/>
        </w:rPr>
        <w:t>estimated costs of service for large load customers or possible generation additions to serve large load customers</w:t>
      </w:r>
      <w:r w:rsidR="001D5CC7">
        <w:rPr>
          <w:iCs/>
          <w:color w:val="212121"/>
        </w:rPr>
        <w:t xml:space="preserve"> is</w:t>
      </w:r>
      <w:r w:rsidR="00644783">
        <w:rPr>
          <w:iCs/>
          <w:color w:val="212121"/>
        </w:rPr>
        <w:t xml:space="preserve"> information </w:t>
      </w:r>
      <w:r w:rsidR="001D5CC7">
        <w:rPr>
          <w:iCs/>
          <w:color w:val="212121"/>
        </w:rPr>
        <w:t xml:space="preserve">reasonably calculated to lead to the discovery of relevant evidence concerning </w:t>
      </w:r>
      <w:r w:rsidR="00644783">
        <w:rPr>
          <w:iCs/>
          <w:color w:val="212121"/>
        </w:rPr>
        <w:t>whether DEF’s proposed tariff reasonably ensures that large load customers bear their own cost of service, and that costs are not shifted to the general body of ratepayers, as required by Section 366.043(3)(a)</w:t>
      </w:r>
      <w:r w:rsidR="00A01C4F">
        <w:rPr>
          <w:iCs/>
          <w:color w:val="212121"/>
        </w:rPr>
        <w:t>, F.S</w:t>
      </w:r>
      <w:r w:rsidR="00644783">
        <w:rPr>
          <w:iCs/>
          <w:color w:val="212121"/>
        </w:rPr>
        <w:t xml:space="preserve">. </w:t>
      </w:r>
    </w:p>
    <w:p w14:paraId="1774ABE2" w14:textId="05C636F1" w:rsidR="00D53E9E" w:rsidRDefault="00D53E9E" w:rsidP="00D53E9E">
      <w:pPr>
        <w:jc w:val="both"/>
        <w:rPr>
          <w:iCs/>
          <w:color w:val="212121"/>
        </w:rPr>
      </w:pPr>
    </w:p>
    <w:p w14:paraId="7931C27E" w14:textId="6097EACD" w:rsidR="00E76283" w:rsidRPr="00E76283" w:rsidRDefault="00D53E9E" w:rsidP="00E76283">
      <w:pPr>
        <w:jc w:val="both"/>
        <w:rPr>
          <w:iCs/>
          <w:color w:val="212121"/>
        </w:rPr>
      </w:pPr>
      <w:r>
        <w:rPr>
          <w:iCs/>
          <w:color w:val="212121"/>
        </w:rPr>
        <w:tab/>
        <w:t>Having considered the arguments of the parties, I find that FR’s Motion to Compel shall be granted</w:t>
      </w:r>
      <w:r w:rsidR="00A01C4F">
        <w:rPr>
          <w:iCs/>
          <w:color w:val="212121"/>
        </w:rPr>
        <w:t xml:space="preserve"> as to its Requests for Production Nos. 3 and 4</w:t>
      </w:r>
      <w:r>
        <w:rPr>
          <w:iCs/>
          <w:color w:val="212121"/>
        </w:rPr>
        <w:t>.</w:t>
      </w:r>
      <w:r w:rsidR="004E3CF7">
        <w:rPr>
          <w:iCs/>
          <w:color w:val="212121"/>
        </w:rPr>
        <w:t xml:space="preserve"> </w:t>
      </w:r>
      <w:r w:rsidR="00E76283" w:rsidRPr="00E76283">
        <w:rPr>
          <w:iCs/>
          <w:color w:val="212121"/>
        </w:rPr>
        <w:t>Regarding Request for Production No.</w:t>
      </w:r>
      <w:r w:rsidR="005D039F">
        <w:rPr>
          <w:iCs/>
          <w:color w:val="212121"/>
        </w:rPr>
        <w:t> </w:t>
      </w:r>
      <w:r w:rsidR="00E76283" w:rsidRPr="00E76283">
        <w:rPr>
          <w:iCs/>
          <w:color w:val="212121"/>
        </w:rPr>
        <w:t>3, responses shall be limited to customers prospectively affected by the proposed tariff. Consequently, cost estimates for customers who meet the demand thresholds but existed on the Utility’s system as of December 31, 2025 – pursuant to the proposed LLCP</w:t>
      </w:r>
      <w:r w:rsidR="00E76283">
        <w:rPr>
          <w:rStyle w:val="FootnoteReference"/>
          <w:iCs/>
          <w:color w:val="212121"/>
        </w:rPr>
        <w:footnoteReference w:id="6"/>
      </w:r>
      <w:r w:rsidR="00E76283" w:rsidRPr="00E76283">
        <w:rPr>
          <w:iCs/>
          <w:color w:val="212121"/>
        </w:rPr>
        <w:t xml:space="preserve"> – are irrelevant and not included within the scope of this discovery.</w:t>
      </w:r>
    </w:p>
    <w:p w14:paraId="5FD12E1B" w14:textId="5506CFC5" w:rsidR="00CC1E55" w:rsidRPr="00817318" w:rsidRDefault="00CC1E55" w:rsidP="00CC1E55">
      <w:pPr>
        <w:pStyle w:val="ListParagraph"/>
        <w:ind w:left="0"/>
        <w:jc w:val="both"/>
        <w:rPr>
          <w:rFonts w:ascii="Times New Roman" w:hAnsi="Times New Roman"/>
          <w:iCs/>
          <w:color w:val="212121"/>
        </w:rPr>
      </w:pPr>
      <w:r w:rsidRPr="00817318">
        <w:rPr>
          <w:rFonts w:ascii="Times New Roman" w:hAnsi="Times New Roman"/>
          <w:iCs/>
          <w:color w:val="212121"/>
        </w:rPr>
        <w:lastRenderedPageBreak/>
        <w:tab/>
        <w:t>Therefore, it is</w:t>
      </w:r>
    </w:p>
    <w:p w14:paraId="76E2AADB" w14:textId="77777777" w:rsidR="00CC1E55" w:rsidRPr="00817318" w:rsidRDefault="00CC1E55" w:rsidP="00CC1E55">
      <w:pPr>
        <w:pStyle w:val="ListParagraph"/>
        <w:ind w:left="0"/>
        <w:jc w:val="both"/>
        <w:rPr>
          <w:rFonts w:ascii="Times New Roman" w:hAnsi="Times New Roman"/>
          <w:iCs/>
          <w:color w:val="212121"/>
        </w:rPr>
      </w:pPr>
    </w:p>
    <w:p w14:paraId="01B4DBF7" w14:textId="32D25146" w:rsidR="00197F67" w:rsidRDefault="00CC1E55" w:rsidP="00CC1E55">
      <w:pPr>
        <w:pStyle w:val="OrderBody"/>
        <w:rPr>
          <w:iCs/>
          <w:color w:val="212121"/>
        </w:rPr>
      </w:pPr>
      <w:r w:rsidRPr="00817318">
        <w:rPr>
          <w:iCs/>
          <w:color w:val="212121"/>
        </w:rPr>
        <w:tab/>
        <w:t>ORDERED by Commissioner</w:t>
      </w:r>
      <w:r>
        <w:rPr>
          <w:iCs/>
          <w:color w:val="212121"/>
        </w:rPr>
        <w:t xml:space="preserve"> Gary F. Clark</w:t>
      </w:r>
      <w:r w:rsidRPr="00817318">
        <w:rPr>
          <w:iCs/>
          <w:color w:val="212121"/>
        </w:rPr>
        <w:t xml:space="preserve">, as Prehearing Officer, that </w:t>
      </w:r>
      <w:r w:rsidR="00A01C4F">
        <w:rPr>
          <w:iCs/>
          <w:color w:val="212121"/>
        </w:rPr>
        <w:t>Florida Rising, Inc.’s</w:t>
      </w:r>
      <w:r w:rsidRPr="00817318">
        <w:rPr>
          <w:iCs/>
          <w:color w:val="212121"/>
        </w:rPr>
        <w:t xml:space="preserve"> </w:t>
      </w:r>
      <w:r>
        <w:rPr>
          <w:iCs/>
          <w:color w:val="212121"/>
        </w:rPr>
        <w:t xml:space="preserve">Motion </w:t>
      </w:r>
      <w:r w:rsidR="00A56DFC">
        <w:rPr>
          <w:iCs/>
          <w:color w:val="212121"/>
        </w:rPr>
        <w:t>to Compel</w:t>
      </w:r>
      <w:r w:rsidR="00D53E9E">
        <w:rPr>
          <w:iCs/>
          <w:color w:val="212121"/>
        </w:rPr>
        <w:t xml:space="preserve"> is granted as to </w:t>
      </w:r>
      <w:r w:rsidR="00A01C4F">
        <w:rPr>
          <w:iCs/>
          <w:color w:val="212121"/>
        </w:rPr>
        <w:t xml:space="preserve">its </w:t>
      </w:r>
      <w:r w:rsidR="00D53E9E">
        <w:rPr>
          <w:iCs/>
          <w:color w:val="212121"/>
        </w:rPr>
        <w:t>Requests for Production Nos. 3 and 4</w:t>
      </w:r>
      <w:r w:rsidR="00A01C4F">
        <w:rPr>
          <w:iCs/>
          <w:color w:val="212121"/>
        </w:rPr>
        <w:t xml:space="preserve"> to Duke Energy Florida, LLC</w:t>
      </w:r>
      <w:r w:rsidR="004E3CF7">
        <w:rPr>
          <w:iCs/>
          <w:color w:val="212121"/>
        </w:rPr>
        <w:t xml:space="preserve">, as set forth </w:t>
      </w:r>
      <w:r w:rsidR="00CC7342">
        <w:rPr>
          <w:iCs/>
          <w:color w:val="212121"/>
        </w:rPr>
        <w:t>with</w:t>
      </w:r>
      <w:r w:rsidR="004E3CF7">
        <w:rPr>
          <w:iCs/>
          <w:color w:val="212121"/>
        </w:rPr>
        <w:t xml:space="preserve">in </w:t>
      </w:r>
      <w:r w:rsidR="00CC7342">
        <w:rPr>
          <w:iCs/>
          <w:color w:val="212121"/>
        </w:rPr>
        <w:t xml:space="preserve">the body of </w:t>
      </w:r>
      <w:r w:rsidR="004E3CF7">
        <w:rPr>
          <w:iCs/>
          <w:color w:val="212121"/>
        </w:rPr>
        <w:t>this Order</w:t>
      </w:r>
      <w:r w:rsidRPr="00817318">
        <w:rPr>
          <w:iCs/>
          <w:color w:val="212121"/>
        </w:rPr>
        <w:t>.</w:t>
      </w:r>
      <w:r w:rsidR="004E3CF7">
        <w:rPr>
          <w:iCs/>
          <w:color w:val="212121"/>
        </w:rPr>
        <w:t xml:space="preserve"> </w:t>
      </w:r>
      <w:r w:rsidR="00197F67">
        <w:rPr>
          <w:iCs/>
          <w:color w:val="212121"/>
        </w:rPr>
        <w:t>It is further</w:t>
      </w:r>
    </w:p>
    <w:p w14:paraId="1972E740" w14:textId="77777777" w:rsidR="00197F67" w:rsidRDefault="00197F67" w:rsidP="00CC1E55">
      <w:pPr>
        <w:pStyle w:val="OrderBody"/>
        <w:rPr>
          <w:iCs/>
          <w:color w:val="212121"/>
        </w:rPr>
      </w:pPr>
    </w:p>
    <w:p w14:paraId="3C34A200" w14:textId="5496627F" w:rsidR="00CB5276" w:rsidRDefault="00197F67" w:rsidP="005A572F">
      <w:pPr>
        <w:pStyle w:val="OrderBody"/>
        <w:ind w:firstLine="720"/>
        <w:rPr>
          <w:iCs/>
          <w:color w:val="212121"/>
        </w:rPr>
      </w:pPr>
      <w:r>
        <w:rPr>
          <w:iCs/>
          <w:color w:val="212121"/>
        </w:rPr>
        <w:t xml:space="preserve">ORDERED that </w:t>
      </w:r>
      <w:r w:rsidR="004E3CF7">
        <w:rPr>
          <w:iCs/>
          <w:color w:val="212121"/>
        </w:rPr>
        <w:t xml:space="preserve">Duke Energy Florida, LLC shall </w:t>
      </w:r>
      <w:r w:rsidR="00CC7342" w:rsidRPr="00CC7342">
        <w:rPr>
          <w:iCs/>
          <w:color w:val="212121"/>
        </w:rPr>
        <w:t xml:space="preserve">provide responses to </w:t>
      </w:r>
      <w:r w:rsidR="00CC7342">
        <w:rPr>
          <w:iCs/>
          <w:color w:val="212121"/>
        </w:rPr>
        <w:t xml:space="preserve">Florida Rising, Inc.’s </w:t>
      </w:r>
      <w:r w:rsidR="00CC7342" w:rsidRPr="00CC7342">
        <w:rPr>
          <w:iCs/>
          <w:color w:val="212121"/>
        </w:rPr>
        <w:t>discovery request</w:t>
      </w:r>
      <w:r w:rsidR="00CC7342">
        <w:rPr>
          <w:iCs/>
          <w:color w:val="212121"/>
        </w:rPr>
        <w:t>s</w:t>
      </w:r>
      <w:r w:rsidR="00CC7342" w:rsidRPr="00CC7342">
        <w:rPr>
          <w:iCs/>
          <w:color w:val="212121"/>
        </w:rPr>
        <w:t>,</w:t>
      </w:r>
      <w:r w:rsidR="00CC7342">
        <w:rPr>
          <w:iCs/>
          <w:color w:val="212121"/>
        </w:rPr>
        <w:t xml:space="preserve"> </w:t>
      </w:r>
      <w:r w:rsidR="00CC7342" w:rsidRPr="00CC7342">
        <w:rPr>
          <w:iCs/>
          <w:color w:val="212121"/>
        </w:rPr>
        <w:t xml:space="preserve">as detailed herein, within 10 days of the issuance of this </w:t>
      </w:r>
      <w:r w:rsidR="00CC7342">
        <w:rPr>
          <w:iCs/>
          <w:color w:val="212121"/>
        </w:rPr>
        <w:t>O</w:t>
      </w:r>
      <w:r w:rsidR="00CC7342" w:rsidRPr="00CC7342">
        <w:rPr>
          <w:iCs/>
          <w:color w:val="212121"/>
        </w:rPr>
        <w:t>rder.</w:t>
      </w:r>
    </w:p>
    <w:p w14:paraId="460465B0" w14:textId="77777777" w:rsidR="00CC1E55" w:rsidRDefault="00CC1E55" w:rsidP="00CC1E55">
      <w:pPr>
        <w:pStyle w:val="OrderBody"/>
        <w:rPr>
          <w:iCs/>
          <w:color w:val="212121"/>
        </w:rPr>
      </w:pPr>
    </w:p>
    <w:p w14:paraId="3F46D5FC" w14:textId="286D8A89" w:rsidR="00CC1E55" w:rsidRDefault="00CC1E55" w:rsidP="00CC1E55">
      <w:pPr>
        <w:pStyle w:val="OrderBody"/>
        <w:keepNext/>
        <w:keepLines/>
        <w:rPr>
          <w:iCs/>
          <w:color w:val="212121"/>
        </w:rPr>
      </w:pPr>
      <w:r>
        <w:rPr>
          <w:iCs/>
          <w:color w:val="212121"/>
        </w:rPr>
        <w:tab/>
        <w:t xml:space="preserve">By ORDER of Commissioner Gary F. Clark, as Prehearing Officer, this </w:t>
      </w:r>
      <w:bookmarkStart w:id="7" w:name="replaceDate"/>
      <w:bookmarkEnd w:id="7"/>
      <w:r w:rsidR="00B638C0">
        <w:rPr>
          <w:iCs/>
          <w:color w:val="212121"/>
          <w:u w:val="single"/>
        </w:rPr>
        <w:t>8th</w:t>
      </w:r>
      <w:r w:rsidR="00B638C0">
        <w:rPr>
          <w:iCs/>
          <w:color w:val="212121"/>
        </w:rPr>
        <w:t xml:space="preserve"> day of </w:t>
      </w:r>
      <w:r w:rsidR="00B638C0">
        <w:rPr>
          <w:iCs/>
          <w:color w:val="212121"/>
          <w:u w:val="single"/>
        </w:rPr>
        <w:t>July</w:t>
      </w:r>
      <w:r w:rsidR="00B638C0">
        <w:rPr>
          <w:iCs/>
          <w:color w:val="212121"/>
        </w:rPr>
        <w:t xml:space="preserve">, </w:t>
      </w:r>
      <w:r w:rsidR="00B638C0">
        <w:rPr>
          <w:iCs/>
          <w:color w:val="212121"/>
          <w:u w:val="single"/>
        </w:rPr>
        <w:t>2026</w:t>
      </w:r>
      <w:r w:rsidR="00B638C0">
        <w:rPr>
          <w:iCs/>
          <w:color w:val="212121"/>
        </w:rPr>
        <w:t>.</w:t>
      </w:r>
    </w:p>
    <w:p w14:paraId="7871E42F" w14:textId="77777777" w:rsidR="00B638C0" w:rsidRPr="00B638C0" w:rsidRDefault="00B638C0" w:rsidP="00CC1E55">
      <w:pPr>
        <w:pStyle w:val="OrderBody"/>
        <w:keepNext/>
        <w:keepLines/>
        <w:rPr>
          <w:iCs/>
          <w:color w:val="212121"/>
        </w:rPr>
      </w:pPr>
    </w:p>
    <w:p w14:paraId="63ED362C" w14:textId="77777777" w:rsidR="00CC1E55" w:rsidRDefault="00CC1E55" w:rsidP="00CC1E55">
      <w:pPr>
        <w:pStyle w:val="OrderBody"/>
        <w:keepNext/>
        <w:keepLines/>
        <w:rPr>
          <w:iCs/>
          <w:color w:val="212121"/>
        </w:rPr>
      </w:pPr>
    </w:p>
    <w:p w14:paraId="3492DE27" w14:textId="77777777" w:rsidR="00CC1E55" w:rsidRDefault="00CC1E55" w:rsidP="00CC1E55">
      <w:pPr>
        <w:pStyle w:val="OrderBody"/>
        <w:keepNext/>
        <w:keepLines/>
        <w:rPr>
          <w:iCs/>
          <w:color w:val="212121"/>
        </w:rPr>
      </w:pPr>
    </w:p>
    <w:p w14:paraId="0CB3EAD6" w14:textId="77777777" w:rsidR="00CC1E55" w:rsidRDefault="00CC1E55" w:rsidP="00CC1E55">
      <w:pPr>
        <w:pStyle w:val="OrderBody"/>
        <w:keepNext/>
        <w:keepLines/>
        <w:rPr>
          <w:iCs/>
          <w:color w:val="212121"/>
        </w:rPr>
      </w:pPr>
    </w:p>
    <w:tbl>
      <w:tblPr>
        <w:tblW w:w="4720" w:type="dxa"/>
        <w:tblInd w:w="3800" w:type="dxa"/>
        <w:tblLayout w:type="fixed"/>
        <w:tblLook w:val="0000" w:firstRow="0" w:lastRow="0" w:firstColumn="0" w:lastColumn="0" w:noHBand="0" w:noVBand="0"/>
      </w:tblPr>
      <w:tblGrid>
        <w:gridCol w:w="686"/>
        <w:gridCol w:w="4034"/>
      </w:tblGrid>
      <w:tr w:rsidR="00CC1E55" w14:paraId="31770B1A" w14:textId="77777777" w:rsidTr="00CC1E55">
        <w:tc>
          <w:tcPr>
            <w:tcW w:w="720" w:type="dxa"/>
            <w:shd w:val="clear" w:color="auto" w:fill="auto"/>
          </w:tcPr>
          <w:p w14:paraId="06EA4638" w14:textId="77777777" w:rsidR="00CC1E55" w:rsidRDefault="00CC1E55" w:rsidP="00CC1E55">
            <w:pPr>
              <w:pStyle w:val="OrderBody"/>
              <w:keepNext/>
              <w:keepLines/>
            </w:pPr>
            <w:bookmarkStart w:id="8" w:name="bkmrkSignature" w:colFirst="0" w:colLast="0"/>
          </w:p>
        </w:tc>
        <w:tc>
          <w:tcPr>
            <w:tcW w:w="4320" w:type="dxa"/>
            <w:tcBorders>
              <w:bottom w:val="single" w:sz="4" w:space="0" w:color="auto"/>
            </w:tcBorders>
            <w:shd w:val="clear" w:color="auto" w:fill="auto"/>
          </w:tcPr>
          <w:p w14:paraId="649489CB" w14:textId="215E0A83" w:rsidR="00CC1E55" w:rsidRDefault="00057B92" w:rsidP="00CC1E55">
            <w:pPr>
              <w:pStyle w:val="OrderBody"/>
              <w:keepNext/>
              <w:keepLines/>
            </w:pPr>
            <w:r>
              <w:t>/s/ Gary F. Clark</w:t>
            </w:r>
          </w:p>
        </w:tc>
      </w:tr>
      <w:bookmarkEnd w:id="8"/>
      <w:tr w:rsidR="00CC1E55" w14:paraId="2CB9E037" w14:textId="77777777" w:rsidTr="00CC1E55">
        <w:tc>
          <w:tcPr>
            <w:tcW w:w="720" w:type="dxa"/>
            <w:shd w:val="clear" w:color="auto" w:fill="auto"/>
          </w:tcPr>
          <w:p w14:paraId="3EF1B13F" w14:textId="77777777" w:rsidR="00CC1E55" w:rsidRDefault="00CC1E55" w:rsidP="00CC1E55">
            <w:pPr>
              <w:pStyle w:val="OrderBody"/>
              <w:keepNext/>
              <w:keepLines/>
            </w:pPr>
          </w:p>
        </w:tc>
        <w:tc>
          <w:tcPr>
            <w:tcW w:w="4320" w:type="dxa"/>
            <w:tcBorders>
              <w:top w:val="single" w:sz="4" w:space="0" w:color="auto"/>
            </w:tcBorders>
            <w:shd w:val="clear" w:color="auto" w:fill="auto"/>
          </w:tcPr>
          <w:p w14:paraId="0B8DA518" w14:textId="77777777" w:rsidR="00CC1E55" w:rsidRDefault="00CC1E55" w:rsidP="00CC1E55">
            <w:pPr>
              <w:pStyle w:val="OrderBody"/>
              <w:keepNext/>
              <w:keepLines/>
            </w:pPr>
            <w:r>
              <w:t>GARY F. CLARK</w:t>
            </w:r>
          </w:p>
          <w:p w14:paraId="59299EB1" w14:textId="540340F1" w:rsidR="00CC1E55" w:rsidRDefault="00CC1E55" w:rsidP="00CC1E55">
            <w:pPr>
              <w:pStyle w:val="OrderBody"/>
              <w:keepNext/>
              <w:keepLines/>
            </w:pPr>
            <w:r>
              <w:t>Commissioner and Prehearing Officer</w:t>
            </w:r>
          </w:p>
        </w:tc>
      </w:tr>
    </w:tbl>
    <w:p w14:paraId="062652BE" w14:textId="77777777" w:rsidR="00CC1E55" w:rsidRDefault="00CC1E55" w:rsidP="00CC1E55">
      <w:pPr>
        <w:pStyle w:val="OrderSigInfo"/>
        <w:keepNext/>
        <w:keepLines/>
      </w:pPr>
      <w:r>
        <w:t>Florida Public Service Commission</w:t>
      </w:r>
    </w:p>
    <w:p w14:paraId="649BE2E2" w14:textId="77777777" w:rsidR="00CC1E55" w:rsidRDefault="00CC1E55" w:rsidP="00CC1E55">
      <w:pPr>
        <w:pStyle w:val="OrderSigInfo"/>
        <w:keepNext/>
        <w:keepLines/>
      </w:pPr>
      <w:r>
        <w:t>2540 Shumard Oak Boulevard</w:t>
      </w:r>
    </w:p>
    <w:p w14:paraId="1E6C26E3" w14:textId="77777777" w:rsidR="00CC1E55" w:rsidRDefault="00CC1E55" w:rsidP="00CC1E55">
      <w:pPr>
        <w:pStyle w:val="OrderSigInfo"/>
        <w:keepNext/>
        <w:keepLines/>
      </w:pPr>
      <w:r>
        <w:t>Tallahassee, Florida 32399</w:t>
      </w:r>
    </w:p>
    <w:p w14:paraId="00CF4EC5" w14:textId="77777777" w:rsidR="00CC1E55" w:rsidRDefault="00CC1E55" w:rsidP="00CC1E55">
      <w:pPr>
        <w:pStyle w:val="OrderSigInfo"/>
        <w:keepNext/>
        <w:keepLines/>
      </w:pPr>
      <w:r>
        <w:t>(850) 413</w:t>
      </w:r>
      <w:r>
        <w:noBreakHyphen/>
        <w:t>6770</w:t>
      </w:r>
    </w:p>
    <w:p w14:paraId="1C416CAF" w14:textId="77777777" w:rsidR="00CC1E55" w:rsidRDefault="00CC1E55" w:rsidP="00CC1E55">
      <w:pPr>
        <w:pStyle w:val="OrderSigInfo"/>
        <w:keepNext/>
        <w:keepLines/>
      </w:pPr>
      <w:r>
        <w:t>www.floridapsc.com</w:t>
      </w:r>
    </w:p>
    <w:p w14:paraId="529575A3" w14:textId="77777777" w:rsidR="00CC1E55" w:rsidRDefault="00CC1E55" w:rsidP="00CC1E55">
      <w:pPr>
        <w:pStyle w:val="OrderSigInfo"/>
        <w:keepNext/>
        <w:keepLines/>
      </w:pPr>
    </w:p>
    <w:p w14:paraId="19343AE8" w14:textId="77777777" w:rsidR="00CC1E55" w:rsidRDefault="00CC1E55" w:rsidP="00CC1E55">
      <w:pPr>
        <w:pStyle w:val="OrderSigInfo"/>
        <w:keepNext/>
        <w:keepLines/>
      </w:pPr>
      <w:r>
        <w:t>Copies furnished:  A copy of this document is provided to the parties of record at the time of issuance and, if applicable, interested persons.</w:t>
      </w:r>
    </w:p>
    <w:p w14:paraId="5C9C31AA" w14:textId="78A2D0E1" w:rsidR="00CC1E55" w:rsidRDefault="00CC1E55" w:rsidP="00CC1E55">
      <w:pPr>
        <w:pStyle w:val="OrderBody"/>
        <w:keepNext/>
        <w:keepLines/>
      </w:pPr>
    </w:p>
    <w:p w14:paraId="3F4272F8" w14:textId="77777777" w:rsidR="00CC1E55" w:rsidRDefault="00CC1E55" w:rsidP="00CC1E55">
      <w:pPr>
        <w:pStyle w:val="OrderBody"/>
        <w:keepNext/>
        <w:keepLines/>
      </w:pPr>
    </w:p>
    <w:p w14:paraId="2EE709B9" w14:textId="7471D1EA" w:rsidR="00CC1E55" w:rsidRDefault="00CC1E55" w:rsidP="00CC1E55">
      <w:pPr>
        <w:pStyle w:val="OrderBody"/>
        <w:keepNext/>
        <w:keepLines/>
      </w:pPr>
      <w:r>
        <w:t>SF</w:t>
      </w:r>
    </w:p>
    <w:p w14:paraId="1989A2F7" w14:textId="77777777" w:rsidR="00CC1E55" w:rsidRDefault="00CC1E55" w:rsidP="00CC1E55">
      <w:pPr>
        <w:pStyle w:val="OrderBody"/>
      </w:pPr>
    </w:p>
    <w:p w14:paraId="69313F4C" w14:textId="77777777" w:rsidR="00CC1E55" w:rsidRDefault="00CC1E55" w:rsidP="00CC1E55">
      <w:pPr>
        <w:pStyle w:val="OrderBody"/>
      </w:pPr>
    </w:p>
    <w:p w14:paraId="6B1934A5" w14:textId="77777777" w:rsidR="00105BB2" w:rsidRDefault="00105BB2">
      <w:pPr>
        <w:rPr>
          <w:u w:val="single"/>
        </w:rPr>
      </w:pPr>
      <w:r>
        <w:br w:type="page"/>
      </w:r>
    </w:p>
    <w:p w14:paraId="7F938440" w14:textId="2696326D" w:rsidR="00CC1E55" w:rsidRDefault="00CC1E55" w:rsidP="00CC1E55">
      <w:pPr>
        <w:pStyle w:val="CenterUnderline"/>
      </w:pPr>
      <w:r>
        <w:lastRenderedPageBreak/>
        <w:t>NOTICE OF FURTHER PROCEEDINGS OR JUDICIAL REVIEW</w:t>
      </w:r>
    </w:p>
    <w:p w14:paraId="039745E1" w14:textId="26755D92" w:rsidR="00CC1E55" w:rsidRDefault="00CC1E55" w:rsidP="00CC1E55">
      <w:pPr>
        <w:pStyle w:val="CenterUnderline"/>
      </w:pPr>
    </w:p>
    <w:p w14:paraId="7EFFE709" w14:textId="77777777" w:rsidR="00CC1E55" w:rsidRDefault="00CC1E55" w:rsidP="00CC1E55">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0FF11177" w14:textId="77777777" w:rsidR="00CC1E55" w:rsidRDefault="00CC1E55" w:rsidP="00CC1E55">
      <w:pPr>
        <w:pStyle w:val="OrderBody"/>
      </w:pPr>
    </w:p>
    <w:p w14:paraId="287F66BB" w14:textId="77777777" w:rsidR="00CC1E55" w:rsidRDefault="00CC1E55" w:rsidP="00CC1E55">
      <w:pPr>
        <w:pStyle w:val="OrderBody"/>
      </w:pPr>
      <w:r>
        <w:tab/>
        <w:t>Mediation may be available on a case-by-case basis.  If mediation is conducted, it does not affect a substantially interested person's right to a hearing.</w:t>
      </w:r>
    </w:p>
    <w:p w14:paraId="7D9B004C" w14:textId="77777777" w:rsidR="00CC1E55" w:rsidRDefault="00CC1E55" w:rsidP="00CC1E55">
      <w:pPr>
        <w:pStyle w:val="OrderBody"/>
      </w:pPr>
    </w:p>
    <w:p w14:paraId="2CF17567" w14:textId="77777777" w:rsidR="00CC1E55" w:rsidRDefault="00CC1E55" w:rsidP="00CC1E55">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7FBE9C6C" w14:textId="77777777" w:rsidR="00CC1E55" w:rsidRDefault="00CC1E55" w:rsidP="00CC1E55">
      <w:pPr>
        <w:pStyle w:val="OrderBody"/>
      </w:pPr>
    </w:p>
    <w:sectPr w:rsidR="00CC1E55">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56370" w14:textId="77777777" w:rsidR="001968B3" w:rsidRDefault="001968B3">
      <w:r>
        <w:separator/>
      </w:r>
    </w:p>
  </w:endnote>
  <w:endnote w:type="continuationSeparator" w:id="0">
    <w:p w14:paraId="3E965F63" w14:textId="77777777" w:rsidR="001968B3" w:rsidRDefault="0019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51778" w14:textId="77777777" w:rsidR="001968B3" w:rsidRDefault="001968B3">
      <w:r>
        <w:separator/>
      </w:r>
    </w:p>
  </w:footnote>
  <w:footnote w:type="continuationSeparator" w:id="0">
    <w:p w14:paraId="5AE8C2F6" w14:textId="77777777" w:rsidR="001968B3" w:rsidRDefault="001968B3">
      <w:r>
        <w:continuationSeparator/>
      </w:r>
    </w:p>
  </w:footnote>
  <w:footnote w:id="1">
    <w:p w14:paraId="737CDD9E" w14:textId="0D57CD43" w:rsidR="00810310" w:rsidRDefault="00810310">
      <w:pPr>
        <w:pStyle w:val="FootnoteText"/>
      </w:pPr>
      <w:r>
        <w:rPr>
          <w:rStyle w:val="FootnoteReference"/>
        </w:rPr>
        <w:footnoteRef/>
      </w:r>
      <w:r>
        <w:t xml:space="preserve"> Document No. 02700-2026.</w:t>
      </w:r>
    </w:p>
  </w:footnote>
  <w:footnote w:id="2">
    <w:p w14:paraId="09CBEDA0" w14:textId="29CBD411" w:rsidR="00810310" w:rsidRDefault="00810310">
      <w:pPr>
        <w:pStyle w:val="FootnoteText"/>
      </w:pPr>
      <w:r>
        <w:rPr>
          <w:rStyle w:val="FootnoteReference"/>
        </w:rPr>
        <w:footnoteRef/>
      </w:r>
      <w:r>
        <w:t xml:space="preserve"> Document No. 02872-2026.</w:t>
      </w:r>
    </w:p>
  </w:footnote>
  <w:footnote w:id="3">
    <w:p w14:paraId="54A9A109" w14:textId="0DBBEBDE" w:rsidR="00810310" w:rsidRDefault="00810310">
      <w:pPr>
        <w:pStyle w:val="FootnoteText"/>
      </w:pPr>
      <w:r>
        <w:rPr>
          <w:rStyle w:val="FootnoteReference"/>
        </w:rPr>
        <w:footnoteRef/>
      </w:r>
      <w:r>
        <w:t xml:space="preserve"> Document No. 03073-2026</w:t>
      </w:r>
      <w:r w:rsidR="00326A62">
        <w:t xml:space="preserve"> and Document No. 03179-2026</w:t>
      </w:r>
      <w:r>
        <w:t>.</w:t>
      </w:r>
    </w:p>
  </w:footnote>
  <w:footnote w:id="4">
    <w:p w14:paraId="7088A970" w14:textId="4BAD258D" w:rsidR="00817FBF" w:rsidRPr="00D80068" w:rsidRDefault="00817FBF">
      <w:pPr>
        <w:pStyle w:val="FootnoteText"/>
        <w:rPr>
          <w:i/>
          <w:iCs/>
        </w:rPr>
      </w:pPr>
      <w:r w:rsidRPr="00326A62">
        <w:rPr>
          <w:rStyle w:val="FootnoteReference"/>
        </w:rPr>
        <w:footnoteRef/>
      </w:r>
      <w:r w:rsidR="00326A62" w:rsidRPr="00326A62">
        <w:t xml:space="preserve"> Order No.</w:t>
      </w:r>
      <w:r w:rsidRPr="00326A62">
        <w:t xml:space="preserve"> </w:t>
      </w:r>
      <w:r w:rsidR="003D3C2C" w:rsidRPr="00D80068">
        <w:t>PSC-2024-0472-AS-EI</w:t>
      </w:r>
      <w:r w:rsidR="00326A62" w:rsidRPr="00326A62">
        <w:t xml:space="preserve">, issued November 12, 2024, in Docket No. 20240025-EI, </w:t>
      </w:r>
      <w:r w:rsidR="00326A62" w:rsidRPr="00326A62">
        <w:rPr>
          <w:i/>
          <w:iCs/>
        </w:rPr>
        <w:t>In re: Pe</w:t>
      </w:r>
      <w:r w:rsidR="00326A62">
        <w:rPr>
          <w:i/>
          <w:iCs/>
        </w:rPr>
        <w:t>tition for rate increase by Duke Energy Florida, LLC.</w:t>
      </w:r>
    </w:p>
  </w:footnote>
  <w:footnote w:id="5">
    <w:p w14:paraId="06DD9173" w14:textId="1773CC17" w:rsidR="00817FBF" w:rsidRDefault="00817FBF">
      <w:pPr>
        <w:pStyle w:val="FootnoteText"/>
      </w:pPr>
      <w:r>
        <w:rPr>
          <w:rStyle w:val="FootnoteReference"/>
        </w:rPr>
        <w:footnoteRef/>
      </w:r>
      <w:r>
        <w:t xml:space="preserve"> Document No. 02327-2026.</w:t>
      </w:r>
    </w:p>
  </w:footnote>
  <w:footnote w:id="6">
    <w:p w14:paraId="7E78A96E" w14:textId="77777777" w:rsidR="00E76283" w:rsidRDefault="00E76283" w:rsidP="00E76283">
      <w:pPr>
        <w:pStyle w:val="FootnoteText"/>
      </w:pPr>
      <w:r>
        <w:rPr>
          <w:rStyle w:val="FootnoteReference"/>
        </w:rPr>
        <w:footnoteRef/>
      </w:r>
      <w:r>
        <w:t xml:space="preserve"> Document No. 02327-2026.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4B4D7" w14:textId="5D014960" w:rsidR="00FA6EFD" w:rsidRDefault="00FA6EFD">
    <w:pPr>
      <w:pStyle w:val="OrderHeader"/>
    </w:pPr>
    <w:r>
      <w:t xml:space="preserve">ORDER NO. </w:t>
    </w:r>
    <w:r w:rsidR="00B638C0">
      <w:fldChar w:fldCharType="begin"/>
    </w:r>
    <w:r w:rsidR="00B638C0">
      <w:instrText xml:space="preserve"> REF OrderNo0244 </w:instrText>
    </w:r>
    <w:r w:rsidR="00B638C0">
      <w:fldChar w:fldCharType="separate"/>
    </w:r>
    <w:r w:rsidR="00B638C0">
      <w:t>PSC-2026-0244-PCO-EI</w:t>
    </w:r>
    <w:r w:rsidR="00B638C0">
      <w:fldChar w:fldCharType="end"/>
    </w:r>
  </w:p>
  <w:p w14:paraId="342A4EE8" w14:textId="7A9E0FB2" w:rsidR="00FA6EFD" w:rsidRDefault="00CC1E55">
    <w:pPr>
      <w:pStyle w:val="OrderHeader"/>
    </w:pPr>
    <w:bookmarkStart w:id="9" w:name="HeaderDocketNo"/>
    <w:bookmarkEnd w:id="9"/>
    <w:r>
      <w:t>DOCKET NO. 20260064-EI</w:t>
    </w:r>
  </w:p>
  <w:p w14:paraId="5621F9F7"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707F50D8"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64-EI"/>
  </w:docVars>
  <w:rsids>
    <w:rsidRoot w:val="00CC1E55"/>
    <w:rsid w:val="000003EA"/>
    <w:rsid w:val="000022B8"/>
    <w:rsid w:val="00003883"/>
    <w:rsid w:val="000048E2"/>
    <w:rsid w:val="00004B3C"/>
    <w:rsid w:val="00011251"/>
    <w:rsid w:val="00012B32"/>
    <w:rsid w:val="00025C2A"/>
    <w:rsid w:val="00025C9D"/>
    <w:rsid w:val="0003433F"/>
    <w:rsid w:val="00035A8C"/>
    <w:rsid w:val="00036BDD"/>
    <w:rsid w:val="000372A2"/>
    <w:rsid w:val="0004190B"/>
    <w:rsid w:val="00041FFD"/>
    <w:rsid w:val="00042C99"/>
    <w:rsid w:val="000464A9"/>
    <w:rsid w:val="00053AB9"/>
    <w:rsid w:val="00055CF7"/>
    <w:rsid w:val="00056229"/>
    <w:rsid w:val="00057A01"/>
    <w:rsid w:val="00057AF1"/>
    <w:rsid w:val="00057B92"/>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5B3C"/>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05BB2"/>
    <w:rsid w:val="001107B3"/>
    <w:rsid w:val="001114B1"/>
    <w:rsid w:val="00112D55"/>
    <w:rsid w:val="001139D8"/>
    <w:rsid w:val="00116AD3"/>
    <w:rsid w:val="00121957"/>
    <w:rsid w:val="0012387E"/>
    <w:rsid w:val="0012393B"/>
    <w:rsid w:val="001259EC"/>
    <w:rsid w:val="00125ADD"/>
    <w:rsid w:val="00126593"/>
    <w:rsid w:val="00126C01"/>
    <w:rsid w:val="00130E9E"/>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968B3"/>
    <w:rsid w:val="00197F67"/>
    <w:rsid w:val="001A15E7"/>
    <w:rsid w:val="001A33C9"/>
    <w:rsid w:val="001A58F3"/>
    <w:rsid w:val="001B034E"/>
    <w:rsid w:val="001B66AF"/>
    <w:rsid w:val="001C2847"/>
    <w:rsid w:val="001C327D"/>
    <w:rsid w:val="001C3BB5"/>
    <w:rsid w:val="001C3F8C"/>
    <w:rsid w:val="001C445C"/>
    <w:rsid w:val="001C5338"/>
    <w:rsid w:val="001C6097"/>
    <w:rsid w:val="001C7126"/>
    <w:rsid w:val="001D008A"/>
    <w:rsid w:val="001D0794"/>
    <w:rsid w:val="001D5CC7"/>
    <w:rsid w:val="001D7777"/>
    <w:rsid w:val="001E0152"/>
    <w:rsid w:val="001E0FF5"/>
    <w:rsid w:val="001F0095"/>
    <w:rsid w:val="001F36B0"/>
    <w:rsid w:val="001F4CA3"/>
    <w:rsid w:val="001F59E0"/>
    <w:rsid w:val="002002ED"/>
    <w:rsid w:val="002044DD"/>
    <w:rsid w:val="00207066"/>
    <w:rsid w:val="002101DA"/>
    <w:rsid w:val="002125EF"/>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40F9"/>
    <w:rsid w:val="0026544B"/>
    <w:rsid w:val="00270F89"/>
    <w:rsid w:val="00276CDC"/>
    <w:rsid w:val="00277655"/>
    <w:rsid w:val="00277B36"/>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6A62"/>
    <w:rsid w:val="003270C4"/>
    <w:rsid w:val="00331ED0"/>
    <w:rsid w:val="00332B0A"/>
    <w:rsid w:val="0033309E"/>
    <w:rsid w:val="00333A41"/>
    <w:rsid w:val="003371CC"/>
    <w:rsid w:val="00341036"/>
    <w:rsid w:val="00345434"/>
    <w:rsid w:val="003458BA"/>
    <w:rsid w:val="00351C22"/>
    <w:rsid w:val="0035495B"/>
    <w:rsid w:val="00355A93"/>
    <w:rsid w:val="00360F30"/>
    <w:rsid w:val="00361522"/>
    <w:rsid w:val="0036362B"/>
    <w:rsid w:val="0037196E"/>
    <w:rsid w:val="0037442E"/>
    <w:rsid w:val="003744F5"/>
    <w:rsid w:val="00382C6A"/>
    <w:rsid w:val="00384115"/>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3C2C"/>
    <w:rsid w:val="003D4CCA"/>
    <w:rsid w:val="003D52A6"/>
    <w:rsid w:val="003D6416"/>
    <w:rsid w:val="003E18FC"/>
    <w:rsid w:val="003E1D48"/>
    <w:rsid w:val="003E2CF4"/>
    <w:rsid w:val="003E711F"/>
    <w:rsid w:val="003F1D2B"/>
    <w:rsid w:val="003F309B"/>
    <w:rsid w:val="003F49A6"/>
    <w:rsid w:val="003F518F"/>
    <w:rsid w:val="003F6BA7"/>
    <w:rsid w:val="003F7445"/>
    <w:rsid w:val="00405881"/>
    <w:rsid w:val="00405FAC"/>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3CF7"/>
    <w:rsid w:val="004E469D"/>
    <w:rsid w:val="004E7F4F"/>
    <w:rsid w:val="004F03B2"/>
    <w:rsid w:val="004F094F"/>
    <w:rsid w:val="004F0AF7"/>
    <w:rsid w:val="004F2DDE"/>
    <w:rsid w:val="004F3AA8"/>
    <w:rsid w:val="004F4E53"/>
    <w:rsid w:val="004F55F7"/>
    <w:rsid w:val="004F5A55"/>
    <w:rsid w:val="004F6426"/>
    <w:rsid w:val="004F7826"/>
    <w:rsid w:val="0050097F"/>
    <w:rsid w:val="00502DAA"/>
    <w:rsid w:val="00505D83"/>
    <w:rsid w:val="00507A8F"/>
    <w:rsid w:val="00511872"/>
    <w:rsid w:val="00512879"/>
    <w:rsid w:val="00513EC1"/>
    <w:rsid w:val="00514B1F"/>
    <w:rsid w:val="00523C5C"/>
    <w:rsid w:val="00524884"/>
    <w:rsid w:val="00525E93"/>
    <w:rsid w:val="0052671D"/>
    <w:rsid w:val="00526F48"/>
    <w:rsid w:val="005300C0"/>
    <w:rsid w:val="00533EF6"/>
    <w:rsid w:val="00536F2F"/>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87059"/>
    <w:rsid w:val="00590845"/>
    <w:rsid w:val="005944A0"/>
    <w:rsid w:val="00594726"/>
    <w:rsid w:val="005963C2"/>
    <w:rsid w:val="0059741D"/>
    <w:rsid w:val="005A0D69"/>
    <w:rsid w:val="005A2CBF"/>
    <w:rsid w:val="005A31F4"/>
    <w:rsid w:val="005A3929"/>
    <w:rsid w:val="005A3E5C"/>
    <w:rsid w:val="005A572F"/>
    <w:rsid w:val="005A73EA"/>
    <w:rsid w:val="005B45F7"/>
    <w:rsid w:val="005B63EA"/>
    <w:rsid w:val="005C15A7"/>
    <w:rsid w:val="005C1A88"/>
    <w:rsid w:val="005C5033"/>
    <w:rsid w:val="005D039F"/>
    <w:rsid w:val="005D1A4D"/>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4783"/>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6F7138"/>
    <w:rsid w:val="00703F2A"/>
    <w:rsid w:val="0070426E"/>
    <w:rsid w:val="00704C5D"/>
    <w:rsid w:val="007072BC"/>
    <w:rsid w:val="00715275"/>
    <w:rsid w:val="00720B10"/>
    <w:rsid w:val="00721B44"/>
    <w:rsid w:val="007232A2"/>
    <w:rsid w:val="00726366"/>
    <w:rsid w:val="00731AB6"/>
    <w:rsid w:val="00733B6B"/>
    <w:rsid w:val="00740808"/>
    <w:rsid w:val="00740A1B"/>
    <w:rsid w:val="00742478"/>
    <w:rsid w:val="00742EBD"/>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2020"/>
    <w:rsid w:val="007E3AFD"/>
    <w:rsid w:val="007E542E"/>
    <w:rsid w:val="007F7943"/>
    <w:rsid w:val="00801DAD"/>
    <w:rsid w:val="00803189"/>
    <w:rsid w:val="00804E7A"/>
    <w:rsid w:val="00805FBB"/>
    <w:rsid w:val="008101B9"/>
    <w:rsid w:val="00810310"/>
    <w:rsid w:val="00814292"/>
    <w:rsid w:val="008169A4"/>
    <w:rsid w:val="00817FBF"/>
    <w:rsid w:val="00822500"/>
    <w:rsid w:val="008278FE"/>
    <w:rsid w:val="00832598"/>
    <w:rsid w:val="008334D9"/>
    <w:rsid w:val="0083397E"/>
    <w:rsid w:val="0083534B"/>
    <w:rsid w:val="00840A83"/>
    <w:rsid w:val="00842035"/>
    <w:rsid w:val="00842602"/>
    <w:rsid w:val="008449F0"/>
    <w:rsid w:val="00846F11"/>
    <w:rsid w:val="00847B45"/>
    <w:rsid w:val="008524DB"/>
    <w:rsid w:val="00856237"/>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1075"/>
    <w:rsid w:val="008F578F"/>
    <w:rsid w:val="008F5D04"/>
    <w:rsid w:val="008F6B3F"/>
    <w:rsid w:val="00902F40"/>
    <w:rsid w:val="00903453"/>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2EC4"/>
    <w:rsid w:val="00964A38"/>
    <w:rsid w:val="00966A9D"/>
    <w:rsid w:val="0096742B"/>
    <w:rsid w:val="00967C64"/>
    <w:rsid w:val="009718C5"/>
    <w:rsid w:val="00976AFF"/>
    <w:rsid w:val="009823BE"/>
    <w:rsid w:val="009839C1"/>
    <w:rsid w:val="00986AED"/>
    <w:rsid w:val="00991534"/>
    <w:rsid w:val="009924CF"/>
    <w:rsid w:val="00993130"/>
    <w:rsid w:val="00994100"/>
    <w:rsid w:val="009A04B7"/>
    <w:rsid w:val="009A2304"/>
    <w:rsid w:val="009A6B17"/>
    <w:rsid w:val="009A7E5C"/>
    <w:rsid w:val="009B052E"/>
    <w:rsid w:val="009B0AE4"/>
    <w:rsid w:val="009B253D"/>
    <w:rsid w:val="009B4E00"/>
    <w:rsid w:val="009B4FCF"/>
    <w:rsid w:val="009C4300"/>
    <w:rsid w:val="009C58A7"/>
    <w:rsid w:val="009C5C41"/>
    <w:rsid w:val="009D4C29"/>
    <w:rsid w:val="009E58E9"/>
    <w:rsid w:val="009E6803"/>
    <w:rsid w:val="009F6AD2"/>
    <w:rsid w:val="009F7C1B"/>
    <w:rsid w:val="00A00B5B"/>
    <w:rsid w:val="00A00D8D"/>
    <w:rsid w:val="00A017C1"/>
    <w:rsid w:val="00A01BB6"/>
    <w:rsid w:val="00A01C4F"/>
    <w:rsid w:val="00A02892"/>
    <w:rsid w:val="00A06D6B"/>
    <w:rsid w:val="00A108A7"/>
    <w:rsid w:val="00A12F35"/>
    <w:rsid w:val="00A228DA"/>
    <w:rsid w:val="00A22B28"/>
    <w:rsid w:val="00A26DC0"/>
    <w:rsid w:val="00A3351E"/>
    <w:rsid w:val="00A36867"/>
    <w:rsid w:val="00A4303C"/>
    <w:rsid w:val="00A46CAF"/>
    <w:rsid w:val="00A47099"/>
    <w:rsid w:val="00A470FD"/>
    <w:rsid w:val="00A50B5E"/>
    <w:rsid w:val="00A52B5D"/>
    <w:rsid w:val="00A56DFC"/>
    <w:rsid w:val="00A571FA"/>
    <w:rsid w:val="00A62DAB"/>
    <w:rsid w:val="00A6757A"/>
    <w:rsid w:val="00A726A6"/>
    <w:rsid w:val="00A74842"/>
    <w:rsid w:val="00A766BF"/>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636F"/>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3551"/>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38C0"/>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289"/>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10BE"/>
    <w:rsid w:val="00C24098"/>
    <w:rsid w:val="00C2571F"/>
    <w:rsid w:val="00C30A4E"/>
    <w:rsid w:val="00C3483B"/>
    <w:rsid w:val="00C3641C"/>
    <w:rsid w:val="00C411F3"/>
    <w:rsid w:val="00C44105"/>
    <w:rsid w:val="00C463D3"/>
    <w:rsid w:val="00C52004"/>
    <w:rsid w:val="00C523EC"/>
    <w:rsid w:val="00C55A33"/>
    <w:rsid w:val="00C563A9"/>
    <w:rsid w:val="00C57176"/>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1E55"/>
    <w:rsid w:val="00CC24CC"/>
    <w:rsid w:val="00CC7342"/>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048C"/>
    <w:rsid w:val="00D51D33"/>
    <w:rsid w:val="00D53E9E"/>
    <w:rsid w:val="00D57132"/>
    <w:rsid w:val="00D57BB2"/>
    <w:rsid w:val="00D57E57"/>
    <w:rsid w:val="00D611DF"/>
    <w:rsid w:val="00D61408"/>
    <w:rsid w:val="00D65405"/>
    <w:rsid w:val="00D66429"/>
    <w:rsid w:val="00D70752"/>
    <w:rsid w:val="00D80068"/>
    <w:rsid w:val="00D80E2D"/>
    <w:rsid w:val="00D824A6"/>
    <w:rsid w:val="00D84D5E"/>
    <w:rsid w:val="00D8560E"/>
    <w:rsid w:val="00D8758F"/>
    <w:rsid w:val="00D9304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6502"/>
    <w:rsid w:val="00E07484"/>
    <w:rsid w:val="00E11351"/>
    <w:rsid w:val="00E114ED"/>
    <w:rsid w:val="00E13970"/>
    <w:rsid w:val="00E17915"/>
    <w:rsid w:val="00E33F44"/>
    <w:rsid w:val="00E37D48"/>
    <w:rsid w:val="00E4225C"/>
    <w:rsid w:val="00E44879"/>
    <w:rsid w:val="00E61530"/>
    <w:rsid w:val="00E66DA0"/>
    <w:rsid w:val="00E72914"/>
    <w:rsid w:val="00E75AE0"/>
    <w:rsid w:val="00E76283"/>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5F8F"/>
    <w:rsid w:val="00EB7951"/>
    <w:rsid w:val="00ED1766"/>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6E37"/>
    <w:rsid w:val="00F37E07"/>
    <w:rsid w:val="00F4182A"/>
    <w:rsid w:val="00F449C6"/>
    <w:rsid w:val="00F464ED"/>
    <w:rsid w:val="00F54380"/>
    <w:rsid w:val="00F54B47"/>
    <w:rsid w:val="00F5538C"/>
    <w:rsid w:val="00F61247"/>
    <w:rsid w:val="00F61F61"/>
    <w:rsid w:val="00F63191"/>
    <w:rsid w:val="00F6702E"/>
    <w:rsid w:val="00F70E84"/>
    <w:rsid w:val="00F80685"/>
    <w:rsid w:val="00F8632B"/>
    <w:rsid w:val="00F94968"/>
    <w:rsid w:val="00FA092B"/>
    <w:rsid w:val="00FA1CE0"/>
    <w:rsid w:val="00FA4F6C"/>
    <w:rsid w:val="00FA5F80"/>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 w:val="00FF5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3DAB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ListParagraph">
    <w:name w:val="List Paragraph"/>
    <w:basedOn w:val="Normal"/>
    <w:uiPriority w:val="34"/>
    <w:qFormat/>
    <w:rsid w:val="00CC1E55"/>
    <w:pPr>
      <w:ind w:left="720"/>
      <w:contextualSpacing/>
    </w:pPr>
    <w:rPr>
      <w:rFonts w:ascii="Calibri" w:eastAsia="Calibri" w:hAnsi="Calibri"/>
    </w:rPr>
  </w:style>
  <w:style w:type="paragraph" w:styleId="Revision">
    <w:name w:val="Revision"/>
    <w:hidden/>
    <w:uiPriority w:val="99"/>
    <w:semiHidden/>
    <w:rsid w:val="00326A62"/>
    <w:rPr>
      <w:sz w:val="24"/>
      <w:szCs w:val="24"/>
    </w:rPr>
  </w:style>
  <w:style w:type="character" w:styleId="CommentReference">
    <w:name w:val="annotation reference"/>
    <w:basedOn w:val="DefaultParagraphFont"/>
    <w:semiHidden/>
    <w:unhideWhenUsed/>
    <w:rsid w:val="00326A62"/>
    <w:rPr>
      <w:sz w:val="16"/>
      <w:szCs w:val="16"/>
    </w:rPr>
  </w:style>
  <w:style w:type="paragraph" w:styleId="CommentText">
    <w:name w:val="annotation text"/>
    <w:basedOn w:val="Normal"/>
    <w:link w:val="CommentTextChar"/>
    <w:unhideWhenUsed/>
    <w:rsid w:val="00326A62"/>
    <w:rPr>
      <w:sz w:val="20"/>
      <w:szCs w:val="20"/>
    </w:rPr>
  </w:style>
  <w:style w:type="character" w:customStyle="1" w:styleId="CommentTextChar">
    <w:name w:val="Comment Text Char"/>
    <w:basedOn w:val="DefaultParagraphFont"/>
    <w:link w:val="CommentText"/>
    <w:rsid w:val="00326A62"/>
  </w:style>
  <w:style w:type="paragraph" w:styleId="CommentSubject">
    <w:name w:val="annotation subject"/>
    <w:basedOn w:val="CommentText"/>
    <w:next w:val="CommentText"/>
    <w:link w:val="CommentSubjectChar"/>
    <w:semiHidden/>
    <w:unhideWhenUsed/>
    <w:rsid w:val="00326A62"/>
    <w:rPr>
      <w:b/>
      <w:bCs/>
    </w:rPr>
  </w:style>
  <w:style w:type="character" w:customStyle="1" w:styleId="CommentSubjectChar">
    <w:name w:val="Comment Subject Char"/>
    <w:basedOn w:val="CommentTextChar"/>
    <w:link w:val="CommentSubject"/>
    <w:semiHidden/>
    <w:rsid w:val="00326A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 w:id="567616803">
      <w:bodyDiv w:val="1"/>
      <w:marLeft w:val="0"/>
      <w:marRight w:val="0"/>
      <w:marTop w:val="0"/>
      <w:marBottom w:val="0"/>
      <w:divBdr>
        <w:top w:val="none" w:sz="0" w:space="0" w:color="auto"/>
        <w:left w:val="none" w:sz="0" w:space="0" w:color="auto"/>
        <w:bottom w:val="none" w:sz="0" w:space="0" w:color="auto"/>
        <w:right w:val="none" w:sz="0" w:space="0" w:color="auto"/>
      </w:divBdr>
    </w:div>
    <w:div w:id="79039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9D0CB-A30B-4D95-BF5E-88622AE51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5</Pages>
  <Words>1610</Words>
  <Characters>9180</Characters>
  <Application>Microsoft Office Word</Application>
  <DocSecurity>0</DocSecurity>
  <Lines>76</Lines>
  <Paragraphs>21</Paragraphs>
  <ScaleCrop>false</ScaleCrop>
  <Company/>
  <LinksUpToDate>false</LinksUpToDate>
  <CharactersWithSpaces>10769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2026-07-08T16:10:00Z</dcterms:created>
  <dcterms:modified xsi:type="dcterms:W3CDTF">2026-07-08T16:33:00Z</dcterms:modified>
</cp:coreProperties>
</file>