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6B7EAD6F"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7CA5D1A" w14:textId="1A822F4A" w:rsidR="007C0528" w:rsidRDefault="007C0528" w:rsidP="00532DFB">
            <w:pPr>
              <w:pStyle w:val="MastHeadState"/>
            </w:pPr>
            <w:r>
              <w:t>State of Florida</w:t>
            </w:r>
          </w:p>
          <w:p w14:paraId="19626452" w14:textId="77777777" w:rsidR="007C0528" w:rsidRDefault="00072CCA">
            <w:pPr>
              <w:jc w:val="center"/>
            </w:pPr>
            <w:r>
              <w:rPr>
                <w:noProof/>
              </w:rPr>
              <w:drawing>
                <wp:inline distT="0" distB="0" distL="0" distR="0" wp14:anchorId="1578C6DF" wp14:editId="557212E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EAF6844"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5A3FE7AC" w14:textId="77777777" w:rsidR="007C0528" w:rsidRDefault="007C0528">
            <w:pPr>
              <w:pStyle w:val="MastHeadPSC"/>
            </w:pPr>
            <w:r>
              <w:t>Public Service Commission</w:t>
            </w:r>
          </w:p>
          <w:p w14:paraId="60A78BC5" w14:textId="77777777" w:rsidR="007C0528" w:rsidRDefault="007C0528">
            <w:pPr>
              <w:pStyle w:val="MastHeadAddress"/>
            </w:pPr>
            <w:r>
              <w:t>Capital Circle Office Center ● 2540 Shumard Oak Boulevard</w:t>
            </w:r>
            <w:r>
              <w:br/>
              <w:t>Tallahassee, Florida 32399-0850</w:t>
            </w:r>
          </w:p>
          <w:p w14:paraId="16AA000D" w14:textId="77777777" w:rsidR="007C0528" w:rsidRDefault="007C0528">
            <w:pPr>
              <w:pStyle w:val="MastHeadMemorandum"/>
            </w:pPr>
            <w:r>
              <w:t>-M-E-M-O-R-A-N-D-U-M-</w:t>
            </w:r>
          </w:p>
          <w:p w14:paraId="12D0B364" w14:textId="77777777" w:rsidR="007C0528" w:rsidRDefault="007C0528">
            <w:pPr>
              <w:pStyle w:val="MemoHeading"/>
            </w:pPr>
          </w:p>
        </w:tc>
      </w:tr>
      <w:tr w:rsidR="007C0528" w14:paraId="2601743A"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5D07EA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5A98765B" w14:textId="413151DD" w:rsidR="007C0528" w:rsidRDefault="00087284">
            <w:pPr>
              <w:pStyle w:val="MemoHeading"/>
            </w:pPr>
            <w:r>
              <w:t>July 23</w:t>
            </w:r>
            <w:r w:rsidR="00342C85">
              <w:t>, 2026</w:t>
            </w:r>
          </w:p>
        </w:tc>
      </w:tr>
      <w:tr w:rsidR="007C0528" w14:paraId="318B96A1" w14:textId="77777777">
        <w:tc>
          <w:tcPr>
            <w:tcW w:w="1254" w:type="dxa"/>
            <w:tcBorders>
              <w:top w:val="nil"/>
              <w:left w:val="nil"/>
              <w:bottom w:val="nil"/>
              <w:right w:val="nil"/>
            </w:tcBorders>
            <w:shd w:val="clear" w:color="auto" w:fill="auto"/>
            <w:tcMar>
              <w:top w:w="288" w:type="dxa"/>
              <w:bottom w:w="0" w:type="dxa"/>
              <w:right w:w="0" w:type="dxa"/>
            </w:tcMar>
          </w:tcPr>
          <w:p w14:paraId="20D48F84"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5928882" w14:textId="77777777" w:rsidR="007C0528" w:rsidRDefault="007C0528" w:rsidP="0093658B">
            <w:pPr>
              <w:pStyle w:val="MemoHeading"/>
            </w:pPr>
            <w:r>
              <w:t>Office of Commission Clerk (</w:t>
            </w:r>
            <w:r w:rsidR="004E69B5">
              <w:t>Teitzman</w:t>
            </w:r>
            <w:r>
              <w:t>)</w:t>
            </w:r>
          </w:p>
        </w:tc>
      </w:tr>
      <w:tr w:rsidR="007C0528" w14:paraId="2D5BFF69" w14:textId="77777777">
        <w:tc>
          <w:tcPr>
            <w:tcW w:w="1254" w:type="dxa"/>
            <w:tcBorders>
              <w:top w:val="nil"/>
              <w:left w:val="nil"/>
              <w:bottom w:val="nil"/>
              <w:right w:val="nil"/>
            </w:tcBorders>
            <w:shd w:val="clear" w:color="auto" w:fill="auto"/>
            <w:tcMar>
              <w:top w:w="288" w:type="dxa"/>
              <w:right w:w="0" w:type="dxa"/>
            </w:tcMar>
          </w:tcPr>
          <w:p w14:paraId="531E6931"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50B65A50" w14:textId="67EAAD3D" w:rsidR="00555E72" w:rsidRDefault="00555E72">
            <w:pPr>
              <w:pStyle w:val="MemoHeading"/>
            </w:pPr>
            <w:bookmarkStart w:id="0" w:name="From"/>
            <w:r>
              <w:t>Division of Accounting and Finance (Lenberg, Higgins)</w:t>
            </w:r>
          </w:p>
          <w:p w14:paraId="7EB37CE9" w14:textId="77777777" w:rsidR="00555E72" w:rsidRDefault="00555E72">
            <w:pPr>
              <w:pStyle w:val="MemoHeading"/>
            </w:pPr>
            <w:r>
              <w:t>Division of Economics (Bruce, Rashawn)</w:t>
            </w:r>
          </w:p>
          <w:p w14:paraId="46CBEC48" w14:textId="77777777" w:rsidR="00555E72" w:rsidRDefault="00555E72">
            <w:pPr>
              <w:pStyle w:val="MemoHeading"/>
            </w:pPr>
            <w:r>
              <w:t>Division of Engineering (Ellis, King, Willis)</w:t>
            </w:r>
          </w:p>
          <w:p w14:paraId="183466E4" w14:textId="77777777" w:rsidR="007C0528" w:rsidRDefault="00555E72">
            <w:pPr>
              <w:pStyle w:val="MemoHeading"/>
            </w:pPr>
            <w:r>
              <w:t>Office of the General Counsel (Farooqi, Imig)</w:t>
            </w:r>
            <w:bookmarkEnd w:id="0"/>
          </w:p>
        </w:tc>
      </w:tr>
      <w:tr w:rsidR="007C0528" w14:paraId="3EE3ACD4" w14:textId="77777777">
        <w:tc>
          <w:tcPr>
            <w:tcW w:w="1254" w:type="dxa"/>
            <w:tcBorders>
              <w:top w:val="nil"/>
              <w:left w:val="nil"/>
              <w:bottom w:val="nil"/>
              <w:right w:val="nil"/>
            </w:tcBorders>
            <w:shd w:val="clear" w:color="auto" w:fill="auto"/>
            <w:tcMar>
              <w:top w:w="288" w:type="dxa"/>
              <w:right w:w="0" w:type="dxa"/>
            </w:tcMar>
          </w:tcPr>
          <w:p w14:paraId="3D623D08"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CCC263B" w14:textId="45417D5D" w:rsidR="007C0528" w:rsidRDefault="00555E72">
            <w:pPr>
              <w:pStyle w:val="MemoHeadingRe"/>
            </w:pPr>
            <w:bookmarkStart w:id="1" w:name="Re"/>
            <w:r>
              <w:t>Docket No. 20250108-WS – Application</w:t>
            </w:r>
            <w:r w:rsidR="00B45108">
              <w:t xml:space="preserve"> </w:t>
            </w:r>
            <w:r>
              <w:t>for staff-assisted rate case in Lake County, by Sunlake Estates Utilities, L.L.C.</w:t>
            </w:r>
            <w:bookmarkEnd w:id="1"/>
          </w:p>
        </w:tc>
      </w:tr>
      <w:tr w:rsidR="007C0528" w14:paraId="3E444D24" w14:textId="77777777">
        <w:tc>
          <w:tcPr>
            <w:tcW w:w="1254" w:type="dxa"/>
            <w:tcBorders>
              <w:top w:val="nil"/>
              <w:left w:val="nil"/>
              <w:bottom w:val="nil"/>
              <w:right w:val="nil"/>
            </w:tcBorders>
            <w:shd w:val="clear" w:color="auto" w:fill="auto"/>
            <w:tcMar>
              <w:top w:w="288" w:type="dxa"/>
              <w:bottom w:w="0" w:type="dxa"/>
              <w:right w:w="0" w:type="dxa"/>
            </w:tcMar>
          </w:tcPr>
          <w:p w14:paraId="3F6A238C"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5E2863A" w14:textId="6E440D63" w:rsidR="007C0528" w:rsidRDefault="00555E72">
            <w:pPr>
              <w:pStyle w:val="MemoHeading"/>
            </w:pPr>
            <w:bookmarkStart w:id="2" w:name="AgendaDate"/>
            <w:r>
              <w:t>0</w:t>
            </w:r>
            <w:r w:rsidR="00E128C3">
              <w:t>8</w:t>
            </w:r>
            <w:r>
              <w:t>/0</w:t>
            </w:r>
            <w:bookmarkEnd w:id="2"/>
            <w:r w:rsidR="00E128C3">
              <w:t>4/2026</w:t>
            </w:r>
            <w:r w:rsidR="007C0528">
              <w:t xml:space="preserve"> – </w:t>
            </w:r>
            <w:bookmarkStart w:id="3" w:name="PermittedStatus"/>
            <w:r>
              <w:t>Regular Agenda –</w:t>
            </w:r>
            <w:bookmarkEnd w:id="3"/>
            <w:r w:rsidR="00B45108">
              <w:t xml:space="preserve"> </w:t>
            </w:r>
            <w:r w:rsidR="0084665B">
              <w:t>Proposed Agency Action – Except for Issue Nos. 12, 13, and 14 – Interested Persons May Participate</w:t>
            </w:r>
          </w:p>
        </w:tc>
      </w:tr>
      <w:tr w:rsidR="007C0528" w14:paraId="287FF6E6" w14:textId="77777777">
        <w:tc>
          <w:tcPr>
            <w:tcW w:w="3690" w:type="dxa"/>
            <w:gridSpan w:val="3"/>
            <w:tcBorders>
              <w:top w:val="nil"/>
              <w:left w:val="nil"/>
              <w:bottom w:val="nil"/>
              <w:right w:val="nil"/>
            </w:tcBorders>
            <w:shd w:val="clear" w:color="auto" w:fill="auto"/>
            <w:tcMar>
              <w:top w:w="288" w:type="dxa"/>
              <w:bottom w:w="0" w:type="dxa"/>
              <w:right w:w="0" w:type="dxa"/>
            </w:tcMar>
          </w:tcPr>
          <w:p w14:paraId="5D503166"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883EF4B" w14:textId="77777777" w:rsidR="007C0528" w:rsidRDefault="00555E72">
            <w:pPr>
              <w:pStyle w:val="MemoHeading"/>
            </w:pPr>
            <w:bookmarkStart w:id="4" w:name="CommissionersAssigned"/>
            <w:r>
              <w:t>All Commissioners</w:t>
            </w:r>
            <w:bookmarkEnd w:id="4"/>
          </w:p>
        </w:tc>
      </w:tr>
      <w:tr w:rsidR="007C0528" w14:paraId="3BA990B4" w14:textId="77777777">
        <w:tc>
          <w:tcPr>
            <w:tcW w:w="3690" w:type="dxa"/>
            <w:gridSpan w:val="3"/>
            <w:tcBorders>
              <w:top w:val="nil"/>
              <w:left w:val="nil"/>
              <w:bottom w:val="nil"/>
              <w:right w:val="nil"/>
            </w:tcBorders>
            <w:shd w:val="clear" w:color="auto" w:fill="auto"/>
            <w:tcMar>
              <w:top w:w="288" w:type="dxa"/>
              <w:bottom w:w="0" w:type="dxa"/>
              <w:right w:w="0" w:type="dxa"/>
            </w:tcMar>
          </w:tcPr>
          <w:p w14:paraId="502FA98C"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F885173" w14:textId="77777777" w:rsidR="007C0528" w:rsidRDefault="00555E72">
            <w:pPr>
              <w:pStyle w:val="MemoHeading"/>
            </w:pPr>
            <w:bookmarkStart w:id="5" w:name="PrehearingOfficer"/>
            <w:r>
              <w:t>Payne</w:t>
            </w:r>
            <w:bookmarkEnd w:id="5"/>
          </w:p>
        </w:tc>
      </w:tr>
      <w:tr w:rsidR="007C0528" w14:paraId="6ACD1EE1"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32120C1" w14:textId="77777777" w:rsidR="007C0528" w:rsidRDefault="007C0528" w:rsidP="00506C03">
            <w:pPr>
              <w:pStyle w:val="MemoHeadingLabel"/>
            </w:pPr>
            <w:bookmarkStart w:id="6" w:name="CriticalDatesLabel"/>
            <w:r>
              <w:t>CRITICAL DATES:</w:t>
            </w:r>
            <w:bookmarkEnd w:id="6"/>
          </w:p>
        </w:tc>
        <w:tc>
          <w:tcPr>
            <w:tcW w:w="5785" w:type="dxa"/>
            <w:tcBorders>
              <w:top w:val="nil"/>
              <w:left w:val="nil"/>
              <w:bottom w:val="nil"/>
              <w:right w:val="nil"/>
            </w:tcBorders>
            <w:shd w:val="clear" w:color="auto" w:fill="auto"/>
          </w:tcPr>
          <w:p w14:paraId="58F2845F" w14:textId="1F7FDF87" w:rsidR="00362689" w:rsidRPr="00362689" w:rsidRDefault="00362689" w:rsidP="00362689">
            <w:pPr>
              <w:pStyle w:val="MemoHeading"/>
            </w:pPr>
            <w:r>
              <w:t>1/12/2027 (15-Month Effective Date (SARC))</w:t>
            </w:r>
          </w:p>
        </w:tc>
      </w:tr>
      <w:tr w:rsidR="007C0528" w14:paraId="642096EA"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A268CEE"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3F97595" w14:textId="77777777" w:rsidR="007C0528" w:rsidRDefault="00555E72">
            <w:pPr>
              <w:pStyle w:val="MemoHeading"/>
            </w:pPr>
            <w:bookmarkStart w:id="7" w:name="SpecialInstructions"/>
            <w:r>
              <w:t>None</w:t>
            </w:r>
            <w:bookmarkEnd w:id="7"/>
          </w:p>
        </w:tc>
      </w:tr>
    </w:tbl>
    <w:p w14:paraId="514A7B47" w14:textId="77777777" w:rsidR="007C0528" w:rsidRDefault="007C0528">
      <w:pPr>
        <w:pStyle w:val="BodyText"/>
      </w:pPr>
    </w:p>
    <w:p w14:paraId="31683EB1" w14:textId="77777777" w:rsidR="007C0528" w:rsidRDefault="007C0528">
      <w:pPr>
        <w:pStyle w:val="RecommendationMajorSectionHeading"/>
      </w:pPr>
      <w:bookmarkStart w:id="8" w:name="RecToC"/>
      <w:bookmarkEnd w:id="8"/>
      <w:r>
        <w:t xml:space="preserve"> </w:t>
      </w:r>
      <w:bookmarkStart w:id="9" w:name="CaseBackground"/>
      <w:r>
        <w:t>Case Background</w:t>
      </w:r>
      <w:r>
        <w:fldChar w:fldCharType="begin"/>
      </w:r>
      <w:r>
        <w:instrText xml:space="preserve"> TC  "</w:instrText>
      </w:r>
      <w:r>
        <w:tab/>
      </w:r>
      <w:bookmarkStart w:id="10" w:name="_Toc94516455"/>
      <w:r>
        <w:instrText>Case Background</w:instrText>
      </w:r>
      <w:bookmarkEnd w:id="10"/>
      <w:r>
        <w:instrText xml:space="preserve">" \l 1 </w:instrText>
      </w:r>
      <w:r>
        <w:fldChar w:fldCharType="end"/>
      </w:r>
    </w:p>
    <w:p w14:paraId="0739D55C" w14:textId="6E3C47ED" w:rsidR="00555E72" w:rsidRDefault="00555E72" w:rsidP="00BF74AD">
      <w:pPr>
        <w:pStyle w:val="Heading1"/>
      </w:pPr>
      <w:r>
        <w:t xml:space="preserve">Sunlake Estates Utilities, L.L.C. (Sunlake or Utility) is a Class C Utility providing water </w:t>
      </w:r>
      <w:r w:rsidR="0018358D">
        <w:t xml:space="preserve">and wastewater </w:t>
      </w:r>
      <w:r>
        <w:t>service to</w:t>
      </w:r>
      <w:r w:rsidRPr="00CE0E6A">
        <w:t xml:space="preserve"> </w:t>
      </w:r>
      <w:r w:rsidRPr="00934A96">
        <w:rPr>
          <w:rFonts w:eastAsiaTheme="minorHAnsi" w:cstheme="minorBidi"/>
          <w:szCs w:val="22"/>
        </w:rPr>
        <w:t>454 residential customers</w:t>
      </w:r>
      <w:r w:rsidR="00394AA3">
        <w:rPr>
          <w:rFonts w:eastAsiaTheme="minorHAnsi" w:cstheme="minorBidi"/>
          <w:szCs w:val="22"/>
        </w:rPr>
        <w:t>,</w:t>
      </w:r>
      <w:r w:rsidRPr="00934A96">
        <w:rPr>
          <w:rFonts w:eastAsiaTheme="minorHAnsi" w:cstheme="minorBidi"/>
          <w:szCs w:val="22"/>
        </w:rPr>
        <w:t xml:space="preserve"> </w:t>
      </w:r>
      <w:r w:rsidR="0018358D">
        <w:rPr>
          <w:rFonts w:eastAsiaTheme="minorHAnsi" w:cstheme="minorBidi"/>
          <w:szCs w:val="22"/>
        </w:rPr>
        <w:t>8</w:t>
      </w:r>
      <w:r w:rsidRPr="00934A96">
        <w:rPr>
          <w:rFonts w:eastAsiaTheme="minorHAnsi" w:cstheme="minorBidi"/>
          <w:szCs w:val="22"/>
        </w:rPr>
        <w:t xml:space="preserve"> general service customers</w:t>
      </w:r>
      <w:r w:rsidR="00394AA3">
        <w:rPr>
          <w:rFonts w:eastAsiaTheme="minorHAnsi" w:cstheme="minorBidi"/>
          <w:szCs w:val="22"/>
        </w:rPr>
        <w:t xml:space="preserve">, and </w:t>
      </w:r>
      <w:r w:rsidR="0018358D">
        <w:rPr>
          <w:rFonts w:eastAsiaTheme="minorHAnsi" w:cstheme="minorBidi"/>
          <w:szCs w:val="22"/>
        </w:rPr>
        <w:t>5</w:t>
      </w:r>
      <w:r w:rsidR="00394AA3">
        <w:rPr>
          <w:rFonts w:eastAsiaTheme="minorHAnsi" w:cstheme="minorBidi"/>
          <w:szCs w:val="22"/>
        </w:rPr>
        <w:t xml:space="preserve"> irrigation customers</w:t>
      </w:r>
      <w:r>
        <w:t xml:space="preserve"> in Lake County. </w:t>
      </w:r>
      <w:r w:rsidRPr="00752002">
        <w:t>In 2014, the Commission</w:t>
      </w:r>
      <w:r>
        <w:t xml:space="preserve"> granted the Utility certificates for the water and wastewater systems.</w:t>
      </w:r>
      <w:r>
        <w:rPr>
          <w:rStyle w:val="FootnoteReference"/>
        </w:rPr>
        <w:footnoteReference w:id="1"/>
      </w:r>
      <w:r>
        <w:t xml:space="preserve"> Subsequently, the Utility’s rates were amended by five price index adjustments with the last increase approved effective June 13, 2025. The Utility is a wholly-owned subsidiary of Sun Communities Finance, LLC, and files a partnership tax return. </w:t>
      </w:r>
    </w:p>
    <w:p w14:paraId="50BAE1B8" w14:textId="77777777" w:rsidR="00555E72" w:rsidRDefault="00555E72" w:rsidP="00555E72">
      <w:pPr>
        <w:pStyle w:val="BodyText"/>
        <w:spacing w:after="0"/>
      </w:pPr>
    </w:p>
    <w:p w14:paraId="2C722BA2" w14:textId="2DD98274" w:rsidR="00555E72" w:rsidRDefault="00555E72" w:rsidP="005529D4">
      <w:pPr>
        <w:pStyle w:val="BodyText"/>
        <w:tabs>
          <w:tab w:val="left" w:pos="7380"/>
        </w:tabs>
        <w:spacing w:after="0"/>
      </w:pPr>
      <w:r>
        <w:lastRenderedPageBreak/>
        <w:t xml:space="preserve">On September 2, 2025, the Utility filed an application for a staff-assisted rate case (SARC) </w:t>
      </w:r>
      <w:r w:rsidRPr="00752002">
        <w:t>for both water and wastewater.</w:t>
      </w:r>
      <w:r w:rsidR="00637308">
        <w:rPr>
          <w:rStyle w:val="FootnoteReference"/>
        </w:rPr>
        <w:footnoteReference w:id="2"/>
      </w:r>
      <w:r w:rsidRPr="00752002">
        <w:t xml:space="preserve"> </w:t>
      </w:r>
      <w:r>
        <w:t xml:space="preserve">However, </w:t>
      </w:r>
      <w:r w:rsidR="00265146">
        <w:t>the Utility</w:t>
      </w:r>
      <w:r>
        <w:t xml:space="preserve"> withdrew </w:t>
      </w:r>
      <w:r w:rsidRPr="00752002">
        <w:t>the wastewater portion of the SARC on March 19, 2026.</w:t>
      </w:r>
      <w:r w:rsidRPr="00752002">
        <w:rPr>
          <w:rStyle w:val="FootnoteReference"/>
        </w:rPr>
        <w:footnoteReference w:id="3"/>
      </w:r>
      <w:r>
        <w:t xml:space="preserve"> According to Sunlake</w:t>
      </w:r>
      <w:r w:rsidR="00BA3040">
        <w:t>’s</w:t>
      </w:r>
      <w:r>
        <w:t xml:space="preserve"> 2024 Annual Report, gross revenues for water were $108,001 and operating expenses were $1</w:t>
      </w:r>
      <w:r w:rsidR="00485537">
        <w:t>83</w:t>
      </w:r>
      <w:r>
        <w:t>,</w:t>
      </w:r>
      <w:r w:rsidR="00485537">
        <w:t>790</w:t>
      </w:r>
      <w:r>
        <w:t>.</w:t>
      </w:r>
    </w:p>
    <w:p w14:paraId="3300ACE2" w14:textId="77777777" w:rsidR="00555E72" w:rsidRDefault="00555E72" w:rsidP="00555E72">
      <w:pPr>
        <w:pStyle w:val="BodyText"/>
        <w:spacing w:after="0"/>
      </w:pPr>
    </w:p>
    <w:p w14:paraId="3BF53B6F" w14:textId="77777777" w:rsidR="00555E72" w:rsidRDefault="00555E72" w:rsidP="00555E72">
      <w:pPr>
        <w:pStyle w:val="BodyText"/>
        <w:spacing w:after="0"/>
      </w:pPr>
      <w:r>
        <w:t>The Commission has jurisdiction pursuant to Sections 367.011, 367.081, 367.0812, 367.0814, 367.091, and 367.121, Florida Statutes (F.S.).</w:t>
      </w:r>
    </w:p>
    <w:p w14:paraId="49F5E94A" w14:textId="77777777" w:rsidR="0068481F" w:rsidRDefault="0068481F">
      <w:pPr>
        <w:pStyle w:val="BodyText"/>
      </w:pPr>
    </w:p>
    <w:p w14:paraId="7A039F29" w14:textId="77777777" w:rsidR="007C0528" w:rsidRDefault="007C0528" w:rsidP="0068481F"/>
    <w:bookmarkEnd w:id="9"/>
    <w:p w14:paraId="77FDDB95" w14:textId="77777777" w:rsidR="00EA2273" w:rsidRDefault="00EA2273">
      <w:pPr>
        <w:pStyle w:val="RecommendationMajorSectionHeading"/>
        <w:sectPr w:rsidR="00EA2273" w:rsidSect="00CB5BD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170" w:right="1440" w:bottom="1440" w:left="1440" w:header="720" w:footer="720" w:gutter="0"/>
          <w:cols w:space="720"/>
          <w:formProt w:val="0"/>
          <w:titlePg/>
          <w:docGrid w:linePitch="360"/>
        </w:sectPr>
      </w:pPr>
    </w:p>
    <w:p w14:paraId="6AAD2E12" w14:textId="7BA29DB8" w:rsidR="006065E5" w:rsidRDefault="007C0528" w:rsidP="009B207D">
      <w:pPr>
        <w:pStyle w:val="RecommendationMajorSectionHeading"/>
      </w:pPr>
      <w:bookmarkStart w:id="13" w:name="DiscussionOfIssues"/>
      <w:r>
        <w:lastRenderedPageBreak/>
        <w:t>Discussion of Issues</w:t>
      </w:r>
      <w:bookmarkEnd w:id="13"/>
    </w:p>
    <w:p w14:paraId="0AA4360C" w14:textId="772950A0" w:rsidR="00C05CAF" w:rsidRPr="00875D78" w:rsidRDefault="00555E72" w:rsidP="00C05CAF">
      <w:pPr>
        <w:pStyle w:val="IssueHeading"/>
        <w:rPr>
          <w:vanish/>
          <w:specVanish/>
        </w:rPr>
      </w:pPr>
      <w:r w:rsidRPr="00555E72">
        <w:t xml:space="preserve">Issue </w:t>
      </w:r>
      <w:r w:rsidR="00AD1D97">
        <w:fldChar w:fldCharType="begin"/>
      </w:r>
      <w:r w:rsidR="00AD1D97">
        <w:instrText xml:space="preserve"> SEQ Issue \* MERGEFORMAT </w:instrText>
      </w:r>
      <w:r w:rsidR="00AD1D97">
        <w:fldChar w:fldCharType="separate"/>
      </w:r>
      <w:r w:rsidR="00AD1D97">
        <w:rPr>
          <w:noProof/>
        </w:rPr>
        <w:t>1</w:t>
      </w:r>
      <w:r w:rsidR="00AD1D97">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14" w:name="_Toc224892262"/>
      <w:bookmarkStart w:id="15" w:name="_Toc231452268"/>
      <w:r w:rsidR="00AD1D97">
        <w:rPr>
          <w:noProof/>
        </w:rPr>
        <w:instrText>1</w:instrText>
      </w:r>
      <w:r w:rsidRPr="00555E72">
        <w:rPr>
          <w:b w:val="0"/>
          <w:bCs w:val="0"/>
          <w:i w:val="0"/>
        </w:rPr>
        <w:fldChar w:fldCharType="end"/>
      </w:r>
      <w:r w:rsidRPr="00555E72">
        <w:tab/>
        <w:instrText>Quality of Service</w:instrText>
      </w:r>
      <w:bookmarkEnd w:id="14"/>
      <w:bookmarkEnd w:id="15"/>
      <w:r w:rsidRPr="00555E72">
        <w:instrText xml:space="preserve">" \l 1 </w:instrText>
      </w:r>
      <w:r w:rsidRPr="00555E72">
        <w:rPr>
          <w:b w:val="0"/>
          <w:bCs w:val="0"/>
          <w:i w:val="0"/>
        </w:rPr>
        <w:fldChar w:fldCharType="end"/>
      </w:r>
      <w:r w:rsidR="00C05CAF" w:rsidRPr="00555E72">
        <w:t> </w:t>
      </w:r>
      <w:bookmarkStart w:id="16" w:name="_Hlk235191060"/>
    </w:p>
    <w:bookmarkEnd w:id="16"/>
    <w:p w14:paraId="5D4BDA18" w14:textId="58BA23C1" w:rsidR="00555E72" w:rsidRDefault="00C05CAF" w:rsidP="00C05CAF">
      <w:r w:rsidRPr="00555E72">
        <w:rPr>
          <w:rFonts w:ascii="Arial" w:hAnsi="Arial" w:cs="Arial"/>
          <w:b/>
          <w:bCs/>
          <w:i/>
          <w:kern w:val="32"/>
          <w:szCs w:val="32"/>
        </w:rPr>
        <w:t> </w:t>
      </w:r>
      <w:r w:rsidR="00555E72" w:rsidRPr="00555E72">
        <w:t>Is the quality of service provided by Sunlake Estates Utilities, L.L.C. satisfactory?</w:t>
      </w:r>
    </w:p>
    <w:p w14:paraId="5FE5167E" w14:textId="77777777" w:rsidR="007D7227" w:rsidRPr="00BB3BE0" w:rsidRDefault="007D7227" w:rsidP="00BB3BE0">
      <w:pPr>
        <w:rPr>
          <w:rFonts w:ascii="Arial" w:hAnsi="Arial" w:cs="Arial"/>
          <w:b/>
          <w:bCs/>
          <w:kern w:val="32"/>
          <w:szCs w:val="32"/>
        </w:rPr>
      </w:pPr>
    </w:p>
    <w:p w14:paraId="36B797A3" w14:textId="5583D95A"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26C216CA" w14:textId="130B6908" w:rsidR="007D7227" w:rsidRPr="007D7227" w:rsidRDefault="00C05CAF" w:rsidP="00C05CAF">
      <w:pPr>
        <w:spacing w:after="240"/>
        <w:jc w:val="both"/>
        <w:outlineLvl w:val="1"/>
        <w:rPr>
          <w:rFonts w:ascii="Arial" w:hAnsi="Arial" w:cs="Arial"/>
          <w:b/>
          <w:bCs/>
          <w:i/>
          <w:iCs/>
          <w:szCs w:val="28"/>
        </w:rPr>
      </w:pPr>
      <w:r w:rsidRPr="00555E72">
        <w:rPr>
          <w:rFonts w:ascii="Arial" w:hAnsi="Arial" w:cs="Arial"/>
          <w:b/>
          <w:bCs/>
          <w:i/>
          <w:kern w:val="32"/>
          <w:szCs w:val="32"/>
        </w:rPr>
        <w:t> </w:t>
      </w:r>
      <w:r w:rsidR="00D162F6">
        <w:t xml:space="preserve">No. While Sunlake’s product is in compliance with </w:t>
      </w:r>
      <w:bookmarkStart w:id="17" w:name="_Hlk233805454"/>
      <w:r w:rsidR="00D162F6">
        <w:t>the rules and regulations of the</w:t>
      </w:r>
      <w:bookmarkEnd w:id="17"/>
      <w:r w:rsidR="00D162F6">
        <w:t xml:space="preserve"> Florida Department of Environmental Protection (DEP), staff does not believe the Utility adequately demonstrated an ability to </w:t>
      </w:r>
      <w:r w:rsidR="00D162F6" w:rsidRPr="006C7682">
        <w:t>address customer satisfaction</w:t>
      </w:r>
      <w:r w:rsidR="00D162F6">
        <w:t xml:space="preserve"> due to concerns regarding recordkeeping and communications with its customers. Staff recommends the quality of service be considered marginal, and the Utility be required to file a plan outlining how it will improve its recordkeeping and customer communications within 30 days of </w:t>
      </w:r>
      <w:r w:rsidR="000D05DA">
        <w:t>an</w:t>
      </w:r>
      <w:r w:rsidR="00D162F6">
        <w:t xml:space="preserve"> Order becoming final. </w:t>
      </w:r>
      <w:r w:rsidR="00B05987">
        <w:t>S</w:t>
      </w:r>
      <w:r w:rsidR="00D162F6">
        <w:t>taff does not recommend a penalty at this time.</w:t>
      </w:r>
      <w:r w:rsidR="00D162F6" w:rsidRPr="00804C25">
        <w:t xml:space="preserve"> </w:t>
      </w:r>
      <w:r w:rsidR="00D162F6">
        <w:t>(Willis)</w:t>
      </w:r>
    </w:p>
    <w:p w14:paraId="72F27127" w14:textId="67CCD96F"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48D18D02" w14:textId="1462D8EC" w:rsidR="00D162F6" w:rsidRDefault="00086203" w:rsidP="00086203">
      <w:pPr>
        <w:pStyle w:val="BodyText"/>
      </w:pPr>
      <w:r w:rsidRPr="00555E72">
        <w:rPr>
          <w:rFonts w:ascii="Arial" w:hAnsi="Arial" w:cs="Arial"/>
          <w:b/>
          <w:bCs/>
          <w:i/>
          <w:kern w:val="32"/>
          <w:szCs w:val="32"/>
        </w:rPr>
        <w:t> </w:t>
      </w:r>
      <w:r w:rsidR="00D162F6">
        <w:t xml:space="preserve">Pursuant to Section 367.081(2)(a)(1), F.S., and Rule 25-30.433(1), Florida Administrative Code (F.A.C.), in water rate cases, the Commission shall determine the overall quality of service provided by the </w:t>
      </w:r>
      <w:r w:rsidR="006B234A">
        <w:t>u</w:t>
      </w:r>
      <w:r w:rsidR="00D162F6">
        <w:t xml:space="preserve">tility. This determination is made from an evaluation of the quality of the Utility’s product and the Utility’s attempt to address customer satisfaction. The </w:t>
      </w:r>
      <w:r w:rsidR="00CB7C0B">
        <w:t>r</w:t>
      </w:r>
      <w:r w:rsidR="00D162F6">
        <w:t xml:space="preserve">ule further states that the most recent chemical analyses for the water system, outstanding citations, violations, and consent orders on file with the </w:t>
      </w:r>
      <w:r w:rsidR="00B05987">
        <w:t>DEP</w:t>
      </w:r>
      <w:r w:rsidR="00D162F6">
        <w:t xml:space="preserve"> and the county health department, and any DEP and county health department officials’ testimony, comments, or complaints received by the Commission are also reviewed. The operating condition of the water system is addressed in Issue 2.</w:t>
      </w:r>
    </w:p>
    <w:p w14:paraId="2A1B5DC5" w14:textId="77777777" w:rsidR="00D162F6" w:rsidRDefault="00D162F6" w:rsidP="00D162F6">
      <w:pPr>
        <w:pStyle w:val="First-LevelSubheading"/>
      </w:pPr>
      <w:r>
        <w:t>Quality of the Utility’s Product</w:t>
      </w:r>
    </w:p>
    <w:p w14:paraId="76E91273" w14:textId="77777777" w:rsidR="00D162F6" w:rsidRDefault="00D162F6" w:rsidP="00D162F6">
      <w:pPr>
        <w:pStyle w:val="BodyText"/>
      </w:pPr>
      <w:r>
        <w:t>To evaluate Sunlake’s product quality, staff reviewed the Utility’s compliance with the DEP’s primary and secondary drinking water standards. Primary standards protect public health, while secondary standards regulate contaminants that may impact the taste, odor, and color of drinking water. In the DEP’s last Sanitary Survey Report dated July 2, 2024, no chemical or bacteriological exceedances, except for the groundwater nitrate levels, were noted for the previous 12 months. The DEP indicated on the Discharge Monitoring Report from April 2024 that the nitrate limit of 10.0 milligrams per liter (mg/L) was exceeded at 11 mg/L. However, DEP indicated that the exceedance was an isolated event and no further action was required from the Utility. Other than groundwater quality, the Utility was determined to be in compliance with the DEP standards. In the Utility’s last Consumer Confidence Report dated June 12, 2025, no violations of contaminant levels were detected for the testing period.</w:t>
      </w:r>
    </w:p>
    <w:p w14:paraId="6675B558" w14:textId="77777777" w:rsidR="00D162F6" w:rsidRDefault="00D162F6" w:rsidP="00D162F6">
      <w:pPr>
        <w:pStyle w:val="First-LevelSubheading"/>
      </w:pPr>
      <w:r>
        <w:t>The Utility’s Attempt to Address Customer Satisfaction</w:t>
      </w:r>
    </w:p>
    <w:p w14:paraId="4CBADCA4" w14:textId="49EF1D0A" w:rsidR="00D162F6" w:rsidRDefault="00D162F6" w:rsidP="00D162F6">
      <w:pPr>
        <w:pStyle w:val="BodyText"/>
      </w:pPr>
      <w:r>
        <w:t xml:space="preserve">Staff reviewed the complaints filed in the Commission’s Consumer Activity Tracking System (CATS), </w:t>
      </w:r>
      <w:r w:rsidR="000D05DA">
        <w:t xml:space="preserve">complaints </w:t>
      </w:r>
      <w:r>
        <w:t xml:space="preserve">received by the Utility, and </w:t>
      </w:r>
      <w:r w:rsidR="000D05DA">
        <w:t xml:space="preserve">complaints </w:t>
      </w:r>
      <w:r>
        <w:t>filed with the DEP for the test year and four years prior. There was one complaint filed in CATS during that period regarding the number of line breaks, service interruptions, and boil-water notices (BWN). A review of the complaint indicates the Utility responded to the Commission and customer, but failed to do so within 15 days of the complaint being filed with the Commission as required by Rule 25-30.355(1), F.A.C. The Utility reported that it received no complaints during this timeframe. The DEP responded that it received no complaints during this timeframe.</w:t>
      </w:r>
    </w:p>
    <w:p w14:paraId="55F1BADF" w14:textId="23F75C71" w:rsidR="0018358D" w:rsidRDefault="00D162F6" w:rsidP="00D162F6">
      <w:pPr>
        <w:pStyle w:val="BodyText"/>
      </w:pPr>
      <w:r>
        <w:t xml:space="preserve">Staff held a Customer Meeting on May 15, 2026, where eight customers provided comments. The comments included the frequency of BWNs, </w:t>
      </w:r>
      <w:r w:rsidRPr="00F17EE3">
        <w:t>water</w:t>
      </w:r>
      <w:r>
        <w:t xml:space="preserve"> line</w:t>
      </w:r>
      <w:r w:rsidRPr="00F17EE3">
        <w:t xml:space="preserve"> breaks, </w:t>
      </w:r>
      <w:r>
        <w:t xml:space="preserve">and </w:t>
      </w:r>
      <w:r w:rsidRPr="00F17EE3">
        <w:t xml:space="preserve">service interruptions, </w:t>
      </w:r>
      <w:r>
        <w:t xml:space="preserve">the state of the water infrastructure, and the concerns regarding the impact of the </w:t>
      </w:r>
      <w:r w:rsidR="00BF4AAE">
        <w:t xml:space="preserve">proposed </w:t>
      </w:r>
      <w:r>
        <w:t>rate increase. Customers also voiced concerns regarding the amount of unaccounted for water.</w:t>
      </w:r>
      <w:r w:rsidR="0018358D">
        <w:t xml:space="preserve"> </w:t>
      </w:r>
      <w:r>
        <w:t xml:space="preserve">In addition, there were approximately 145 customer comments filed in the docket as of June 30, 2026. </w:t>
      </w:r>
      <w:r w:rsidRPr="00E81519">
        <w:t xml:space="preserve">For reference, the </w:t>
      </w:r>
      <w:r>
        <w:t>U</w:t>
      </w:r>
      <w:r w:rsidRPr="00E81519">
        <w:t xml:space="preserve">tility serves approximately </w:t>
      </w:r>
      <w:r>
        <w:t xml:space="preserve">467 customers, which includes </w:t>
      </w:r>
      <w:r w:rsidRPr="00E81519">
        <w:t>454 residential customers</w:t>
      </w:r>
      <w:r w:rsidRPr="00063287">
        <w:t xml:space="preserve">. </w:t>
      </w:r>
    </w:p>
    <w:p w14:paraId="5D200E61" w14:textId="7CD62E4D" w:rsidR="00D162F6" w:rsidRDefault="00D162F6" w:rsidP="00D162F6">
      <w:pPr>
        <w:pStyle w:val="BodyText"/>
      </w:pPr>
      <w:r>
        <w:t xml:space="preserve">Table 1-1 shows a total of 396 different comments </w:t>
      </w:r>
      <w:r w:rsidR="0018358D">
        <w:t>(</w:t>
      </w:r>
      <w:r w:rsidR="0018358D" w:rsidRPr="0018358D">
        <w:t>provided verbally at the customer meeting and written via the docket file</w:t>
      </w:r>
      <w:r w:rsidR="0018358D">
        <w:t>)</w:t>
      </w:r>
      <w:r w:rsidR="0018358D" w:rsidRPr="0018358D">
        <w:t xml:space="preserve"> </w:t>
      </w:r>
      <w:r>
        <w:t xml:space="preserve">over six categories. A single customer comment was counted in multiple categories if it addressed multiple issues. The majority of the comments expressed concern with the </w:t>
      </w:r>
      <w:r w:rsidR="0018358D">
        <w:t>overall</w:t>
      </w:r>
      <w:r>
        <w:t xml:space="preserve"> rate increase. However, there were a number of comments expressing concerns regarding the overall quality of service</w:t>
      </w:r>
      <w:r w:rsidR="0018358D">
        <w:t xml:space="preserve"> and</w:t>
      </w:r>
      <w:r>
        <w:t xml:space="preserve"> the frequency of outages. The Other category captured all other concerns, such as water conservation, lawn maintenance, unmetered water use, and unaccounted for water. </w:t>
      </w:r>
    </w:p>
    <w:p w14:paraId="31D479E7" w14:textId="51AC975C" w:rsidR="00D162F6" w:rsidRDefault="00D162F6" w:rsidP="00D162F6">
      <w:pPr>
        <w:pStyle w:val="TableNumber"/>
        <w:keepNext/>
      </w:pPr>
      <w:r>
        <w:t xml:space="preserve">Table </w:t>
      </w:r>
      <w:r>
        <w:fldChar w:fldCharType="begin"/>
      </w:r>
      <w:r>
        <w:instrText xml:space="preserve"> SEQ Issue \c </w:instrText>
      </w:r>
      <w:r>
        <w:fldChar w:fldCharType="separate"/>
      </w:r>
      <w:r w:rsidR="00AD1D97">
        <w:rPr>
          <w:noProof/>
        </w:rPr>
        <w:t>1</w:t>
      </w:r>
      <w:r>
        <w:fldChar w:fldCharType="end"/>
      </w:r>
      <w:r>
        <w:t>-1</w:t>
      </w:r>
    </w:p>
    <w:p w14:paraId="3F556484" w14:textId="265C9640" w:rsidR="00D162F6" w:rsidRDefault="00D162F6" w:rsidP="00D162F6">
      <w:pPr>
        <w:pStyle w:val="TableTitle"/>
        <w:keepNext/>
      </w:pPr>
      <w:r>
        <w:t>Number of Comments Received, Organized by Category and Source</w:t>
      </w:r>
    </w:p>
    <w:tbl>
      <w:tblPr>
        <w:tblStyle w:val="TableGrid"/>
        <w:tblW w:w="0" w:type="auto"/>
        <w:tblInd w:w="378" w:type="dxa"/>
        <w:tblLook w:val="04A0" w:firstRow="1" w:lastRow="0" w:firstColumn="1" w:lastColumn="0" w:noHBand="0" w:noVBand="1"/>
      </w:tblPr>
      <w:tblGrid>
        <w:gridCol w:w="3780"/>
        <w:gridCol w:w="1440"/>
        <w:gridCol w:w="1440"/>
        <w:gridCol w:w="1350"/>
      </w:tblGrid>
      <w:tr w:rsidR="00D162F6" w14:paraId="4D3B5CE6" w14:textId="77777777" w:rsidTr="00F05CA3">
        <w:tc>
          <w:tcPr>
            <w:tcW w:w="3780" w:type="dxa"/>
            <w:vAlign w:val="bottom"/>
          </w:tcPr>
          <w:p w14:paraId="49FDEE60" w14:textId="77777777" w:rsidR="00D162F6" w:rsidRDefault="00D162F6" w:rsidP="00F05CA3">
            <w:pPr>
              <w:jc w:val="center"/>
            </w:pPr>
            <w:r>
              <w:t>Comment Category</w:t>
            </w:r>
          </w:p>
        </w:tc>
        <w:tc>
          <w:tcPr>
            <w:tcW w:w="1440" w:type="dxa"/>
            <w:vAlign w:val="bottom"/>
          </w:tcPr>
          <w:p w14:paraId="2DAEAB39" w14:textId="6311364E" w:rsidR="00D162F6" w:rsidRDefault="00B05987" w:rsidP="00F05CA3">
            <w:pPr>
              <w:jc w:val="center"/>
            </w:pPr>
            <w:r>
              <w:t xml:space="preserve">Verbal </w:t>
            </w:r>
            <w:r w:rsidR="00D162F6">
              <w:t>Comments</w:t>
            </w:r>
          </w:p>
        </w:tc>
        <w:tc>
          <w:tcPr>
            <w:tcW w:w="1440" w:type="dxa"/>
            <w:vAlign w:val="bottom"/>
          </w:tcPr>
          <w:p w14:paraId="20EB7516" w14:textId="77777777" w:rsidR="00D162F6" w:rsidRDefault="00D162F6" w:rsidP="00F05CA3">
            <w:pPr>
              <w:jc w:val="center"/>
            </w:pPr>
            <w:r>
              <w:t>Written Comments</w:t>
            </w:r>
          </w:p>
        </w:tc>
        <w:tc>
          <w:tcPr>
            <w:tcW w:w="1350" w:type="dxa"/>
            <w:vAlign w:val="bottom"/>
          </w:tcPr>
          <w:p w14:paraId="03F79C7F" w14:textId="77777777" w:rsidR="00D162F6" w:rsidRDefault="00D162F6" w:rsidP="00F05CA3">
            <w:pPr>
              <w:jc w:val="center"/>
            </w:pPr>
            <w:r>
              <w:t>Total*</w:t>
            </w:r>
          </w:p>
        </w:tc>
      </w:tr>
      <w:tr w:rsidR="00D162F6" w14:paraId="3295A184" w14:textId="77777777" w:rsidTr="00F05CA3">
        <w:tc>
          <w:tcPr>
            <w:tcW w:w="3780" w:type="dxa"/>
          </w:tcPr>
          <w:p w14:paraId="7967B633" w14:textId="77777777" w:rsidR="00D162F6" w:rsidRDefault="00D162F6" w:rsidP="00F05CA3">
            <w:r>
              <w:t>Quality of Service</w:t>
            </w:r>
          </w:p>
        </w:tc>
        <w:tc>
          <w:tcPr>
            <w:tcW w:w="1440" w:type="dxa"/>
          </w:tcPr>
          <w:p w14:paraId="1AC5A9C8" w14:textId="77777777" w:rsidR="00D162F6" w:rsidRDefault="00D162F6" w:rsidP="00434DE8">
            <w:pPr>
              <w:jc w:val="right"/>
            </w:pPr>
            <w:r>
              <w:t>7</w:t>
            </w:r>
          </w:p>
        </w:tc>
        <w:tc>
          <w:tcPr>
            <w:tcW w:w="1440" w:type="dxa"/>
          </w:tcPr>
          <w:p w14:paraId="2C0F1CD3" w14:textId="77777777" w:rsidR="00D162F6" w:rsidRDefault="00D162F6" w:rsidP="00434DE8">
            <w:pPr>
              <w:jc w:val="right"/>
            </w:pPr>
            <w:r>
              <w:t>65</w:t>
            </w:r>
          </w:p>
        </w:tc>
        <w:tc>
          <w:tcPr>
            <w:tcW w:w="1350" w:type="dxa"/>
          </w:tcPr>
          <w:p w14:paraId="5AD182D9" w14:textId="77777777" w:rsidR="00D162F6" w:rsidRDefault="00D162F6" w:rsidP="00434DE8">
            <w:pPr>
              <w:jc w:val="right"/>
            </w:pPr>
            <w:r>
              <w:t>72</w:t>
            </w:r>
          </w:p>
        </w:tc>
      </w:tr>
      <w:tr w:rsidR="00D162F6" w14:paraId="5E037333" w14:textId="77777777" w:rsidTr="00F05CA3">
        <w:tc>
          <w:tcPr>
            <w:tcW w:w="3780" w:type="dxa"/>
          </w:tcPr>
          <w:p w14:paraId="316200E6" w14:textId="77777777" w:rsidR="00D162F6" w:rsidRDefault="00D162F6" w:rsidP="00F05CA3">
            <w:r>
              <w:t>Outages and/or BWNs</w:t>
            </w:r>
          </w:p>
        </w:tc>
        <w:tc>
          <w:tcPr>
            <w:tcW w:w="1440" w:type="dxa"/>
          </w:tcPr>
          <w:p w14:paraId="17C93706" w14:textId="77777777" w:rsidR="00D162F6" w:rsidRDefault="00D162F6" w:rsidP="00434DE8">
            <w:pPr>
              <w:jc w:val="right"/>
            </w:pPr>
            <w:r>
              <w:t>7</w:t>
            </w:r>
          </w:p>
        </w:tc>
        <w:tc>
          <w:tcPr>
            <w:tcW w:w="1440" w:type="dxa"/>
          </w:tcPr>
          <w:p w14:paraId="1D508EE3" w14:textId="77777777" w:rsidR="00D162F6" w:rsidRDefault="00D162F6" w:rsidP="00434DE8">
            <w:pPr>
              <w:jc w:val="right"/>
            </w:pPr>
            <w:r>
              <w:t>69</w:t>
            </w:r>
          </w:p>
        </w:tc>
        <w:tc>
          <w:tcPr>
            <w:tcW w:w="1350" w:type="dxa"/>
          </w:tcPr>
          <w:p w14:paraId="36866CA9" w14:textId="77777777" w:rsidR="00D162F6" w:rsidRDefault="00D162F6" w:rsidP="00434DE8">
            <w:pPr>
              <w:jc w:val="right"/>
            </w:pPr>
            <w:r>
              <w:t>76</w:t>
            </w:r>
          </w:p>
        </w:tc>
      </w:tr>
      <w:tr w:rsidR="00D162F6" w14:paraId="47B5341C" w14:textId="77777777" w:rsidTr="00F05CA3">
        <w:tc>
          <w:tcPr>
            <w:tcW w:w="3780" w:type="dxa"/>
          </w:tcPr>
          <w:p w14:paraId="45674345" w14:textId="77777777" w:rsidR="00D162F6" w:rsidRDefault="00D162F6" w:rsidP="00F05CA3">
            <w:r>
              <w:t>Improper Billing</w:t>
            </w:r>
          </w:p>
        </w:tc>
        <w:tc>
          <w:tcPr>
            <w:tcW w:w="1440" w:type="dxa"/>
          </w:tcPr>
          <w:p w14:paraId="258C7C71" w14:textId="77777777" w:rsidR="00D162F6" w:rsidRDefault="00D162F6" w:rsidP="00434DE8">
            <w:pPr>
              <w:jc w:val="right"/>
            </w:pPr>
            <w:r>
              <w:t>-</w:t>
            </w:r>
          </w:p>
        </w:tc>
        <w:tc>
          <w:tcPr>
            <w:tcW w:w="1440" w:type="dxa"/>
          </w:tcPr>
          <w:p w14:paraId="198ED4BE" w14:textId="77777777" w:rsidR="00D162F6" w:rsidRDefault="00D162F6" w:rsidP="00434DE8">
            <w:pPr>
              <w:jc w:val="right"/>
            </w:pPr>
            <w:r>
              <w:t>3</w:t>
            </w:r>
          </w:p>
        </w:tc>
        <w:tc>
          <w:tcPr>
            <w:tcW w:w="1350" w:type="dxa"/>
          </w:tcPr>
          <w:p w14:paraId="178440C3" w14:textId="77777777" w:rsidR="00D162F6" w:rsidRDefault="00D162F6" w:rsidP="00434DE8">
            <w:pPr>
              <w:jc w:val="right"/>
            </w:pPr>
            <w:r>
              <w:t>3</w:t>
            </w:r>
          </w:p>
        </w:tc>
      </w:tr>
      <w:tr w:rsidR="00D162F6" w14:paraId="663AA656" w14:textId="77777777" w:rsidTr="00F05CA3">
        <w:tc>
          <w:tcPr>
            <w:tcW w:w="3780" w:type="dxa"/>
          </w:tcPr>
          <w:p w14:paraId="0D9CE3A7" w14:textId="77777777" w:rsidR="00D162F6" w:rsidRDefault="00D162F6" w:rsidP="00F05CA3">
            <w:r>
              <w:t>Meter Concerns</w:t>
            </w:r>
          </w:p>
        </w:tc>
        <w:tc>
          <w:tcPr>
            <w:tcW w:w="1440" w:type="dxa"/>
          </w:tcPr>
          <w:p w14:paraId="56D62A19" w14:textId="77777777" w:rsidR="00D162F6" w:rsidRDefault="00D162F6" w:rsidP="00434DE8">
            <w:pPr>
              <w:jc w:val="right"/>
            </w:pPr>
            <w:r>
              <w:t>2</w:t>
            </w:r>
          </w:p>
        </w:tc>
        <w:tc>
          <w:tcPr>
            <w:tcW w:w="1440" w:type="dxa"/>
          </w:tcPr>
          <w:p w14:paraId="7119F644" w14:textId="77777777" w:rsidR="00D162F6" w:rsidRDefault="00D162F6" w:rsidP="00434DE8">
            <w:pPr>
              <w:jc w:val="right"/>
            </w:pPr>
            <w:r>
              <w:t>1</w:t>
            </w:r>
          </w:p>
        </w:tc>
        <w:tc>
          <w:tcPr>
            <w:tcW w:w="1350" w:type="dxa"/>
          </w:tcPr>
          <w:p w14:paraId="0C099235" w14:textId="77777777" w:rsidR="00D162F6" w:rsidRDefault="00D162F6" w:rsidP="00434DE8">
            <w:pPr>
              <w:jc w:val="right"/>
            </w:pPr>
            <w:r>
              <w:t>3</w:t>
            </w:r>
          </w:p>
        </w:tc>
      </w:tr>
      <w:tr w:rsidR="00D162F6" w14:paraId="19A4307F" w14:textId="77777777" w:rsidTr="00F05CA3">
        <w:tc>
          <w:tcPr>
            <w:tcW w:w="3780" w:type="dxa"/>
          </w:tcPr>
          <w:p w14:paraId="730C1C16" w14:textId="77777777" w:rsidR="00D162F6" w:rsidRDefault="00D162F6" w:rsidP="00F05CA3">
            <w:r>
              <w:t>Rate Increase Concerns</w:t>
            </w:r>
          </w:p>
        </w:tc>
        <w:tc>
          <w:tcPr>
            <w:tcW w:w="1440" w:type="dxa"/>
          </w:tcPr>
          <w:p w14:paraId="329E78F2" w14:textId="77777777" w:rsidR="00D162F6" w:rsidRDefault="00D162F6" w:rsidP="00434DE8">
            <w:pPr>
              <w:jc w:val="right"/>
            </w:pPr>
            <w:r>
              <w:t>7</w:t>
            </w:r>
          </w:p>
        </w:tc>
        <w:tc>
          <w:tcPr>
            <w:tcW w:w="1440" w:type="dxa"/>
          </w:tcPr>
          <w:p w14:paraId="0492A69F" w14:textId="77777777" w:rsidR="00D162F6" w:rsidRDefault="00D162F6" w:rsidP="00434DE8">
            <w:pPr>
              <w:jc w:val="right"/>
            </w:pPr>
            <w:r>
              <w:t>144</w:t>
            </w:r>
          </w:p>
        </w:tc>
        <w:tc>
          <w:tcPr>
            <w:tcW w:w="1350" w:type="dxa"/>
          </w:tcPr>
          <w:p w14:paraId="090ED8EA" w14:textId="77777777" w:rsidR="00D162F6" w:rsidRDefault="00D162F6" w:rsidP="00434DE8">
            <w:pPr>
              <w:jc w:val="right"/>
            </w:pPr>
            <w:r>
              <w:t>151</w:t>
            </w:r>
          </w:p>
        </w:tc>
      </w:tr>
      <w:tr w:rsidR="00D162F6" w14:paraId="0F3132C6" w14:textId="77777777" w:rsidTr="00F05CA3">
        <w:tc>
          <w:tcPr>
            <w:tcW w:w="3780" w:type="dxa"/>
          </w:tcPr>
          <w:p w14:paraId="4AE54769" w14:textId="77777777" w:rsidR="00D162F6" w:rsidRDefault="00D162F6" w:rsidP="00F05CA3">
            <w:r>
              <w:t>Other</w:t>
            </w:r>
          </w:p>
        </w:tc>
        <w:tc>
          <w:tcPr>
            <w:tcW w:w="1440" w:type="dxa"/>
          </w:tcPr>
          <w:p w14:paraId="58F167BA" w14:textId="77777777" w:rsidR="00D162F6" w:rsidRDefault="00D162F6" w:rsidP="00434DE8">
            <w:pPr>
              <w:jc w:val="right"/>
            </w:pPr>
            <w:r>
              <w:t>4</w:t>
            </w:r>
          </w:p>
        </w:tc>
        <w:tc>
          <w:tcPr>
            <w:tcW w:w="1440" w:type="dxa"/>
          </w:tcPr>
          <w:p w14:paraId="40252994" w14:textId="77777777" w:rsidR="00D162F6" w:rsidRDefault="00D162F6" w:rsidP="00434DE8">
            <w:pPr>
              <w:jc w:val="right"/>
            </w:pPr>
            <w:r>
              <w:t>87</w:t>
            </w:r>
          </w:p>
        </w:tc>
        <w:tc>
          <w:tcPr>
            <w:tcW w:w="1350" w:type="dxa"/>
          </w:tcPr>
          <w:p w14:paraId="6CB8F8E4" w14:textId="77777777" w:rsidR="00D162F6" w:rsidRDefault="00D162F6" w:rsidP="00434DE8">
            <w:pPr>
              <w:jc w:val="right"/>
            </w:pPr>
            <w:r>
              <w:t>91</w:t>
            </w:r>
          </w:p>
        </w:tc>
      </w:tr>
      <w:tr w:rsidR="00D162F6" w14:paraId="3DC0AF3C" w14:textId="77777777" w:rsidTr="00F05CA3">
        <w:tc>
          <w:tcPr>
            <w:tcW w:w="3780" w:type="dxa"/>
          </w:tcPr>
          <w:p w14:paraId="6D7597CA" w14:textId="77777777" w:rsidR="00D162F6" w:rsidRDefault="00D162F6" w:rsidP="00F05CA3">
            <w:r>
              <w:t>Total</w:t>
            </w:r>
          </w:p>
        </w:tc>
        <w:tc>
          <w:tcPr>
            <w:tcW w:w="1440" w:type="dxa"/>
          </w:tcPr>
          <w:p w14:paraId="534D139F" w14:textId="77777777" w:rsidR="00D162F6" w:rsidRDefault="00D162F6" w:rsidP="00434DE8">
            <w:pPr>
              <w:jc w:val="right"/>
            </w:pPr>
            <w:r>
              <w:t>27</w:t>
            </w:r>
          </w:p>
        </w:tc>
        <w:tc>
          <w:tcPr>
            <w:tcW w:w="1440" w:type="dxa"/>
          </w:tcPr>
          <w:p w14:paraId="4EF6A2B0" w14:textId="77777777" w:rsidR="00D162F6" w:rsidRDefault="00D162F6" w:rsidP="00434DE8">
            <w:pPr>
              <w:jc w:val="right"/>
            </w:pPr>
            <w:r>
              <w:t>369</w:t>
            </w:r>
          </w:p>
        </w:tc>
        <w:tc>
          <w:tcPr>
            <w:tcW w:w="1350" w:type="dxa"/>
          </w:tcPr>
          <w:p w14:paraId="66CC114D" w14:textId="77777777" w:rsidR="00D162F6" w:rsidRDefault="00D162F6" w:rsidP="00434DE8">
            <w:pPr>
              <w:jc w:val="right"/>
            </w:pPr>
            <w:r>
              <w:t>396</w:t>
            </w:r>
          </w:p>
        </w:tc>
      </w:tr>
    </w:tbl>
    <w:p w14:paraId="240F58BB" w14:textId="77777777" w:rsidR="00D162F6" w:rsidRDefault="00D162F6" w:rsidP="00D162F6">
      <w:pPr>
        <w:pStyle w:val="TableSource"/>
        <w:rPr>
          <w:sz w:val="20"/>
          <w:szCs w:val="20"/>
        </w:rPr>
      </w:pPr>
      <w:r w:rsidRPr="001512AB">
        <w:rPr>
          <w:sz w:val="20"/>
          <w:szCs w:val="20"/>
        </w:rPr>
        <w:t xml:space="preserve">*A single customer comment could be counted multiple </w:t>
      </w:r>
      <w:r>
        <w:rPr>
          <w:sz w:val="20"/>
          <w:szCs w:val="20"/>
        </w:rPr>
        <w:t>times</w:t>
      </w:r>
      <w:r w:rsidRPr="001512AB">
        <w:rPr>
          <w:sz w:val="20"/>
          <w:szCs w:val="20"/>
        </w:rPr>
        <w:t xml:space="preserve"> if </w:t>
      </w:r>
      <w:r>
        <w:rPr>
          <w:sz w:val="20"/>
          <w:szCs w:val="20"/>
        </w:rPr>
        <w:t>it is associated with multiple categories.</w:t>
      </w:r>
    </w:p>
    <w:p w14:paraId="75295127" w14:textId="77777777" w:rsidR="000D05DA" w:rsidRDefault="0018358D" w:rsidP="00D162F6">
      <w:pPr>
        <w:pStyle w:val="BodyText"/>
      </w:pPr>
      <w:r>
        <w:t xml:space="preserve">As summarized in Table 1-1, several comments addressed </w:t>
      </w:r>
      <w:r w:rsidR="00D162F6">
        <w:t>outages and BWNs</w:t>
      </w:r>
      <w:r>
        <w:t>.</w:t>
      </w:r>
      <w:r w:rsidR="00D162F6">
        <w:t xml:space="preserve"> </w:t>
      </w:r>
      <w:r>
        <w:t xml:space="preserve">Specifically, </w:t>
      </w:r>
      <w:r w:rsidR="00D162F6">
        <w:t>comments were centered around communication concerns and the frequency of line breaks.</w:t>
      </w:r>
      <w:r>
        <w:t xml:space="preserve"> C</w:t>
      </w:r>
      <w:r w:rsidR="00D162F6" w:rsidRPr="00D40218">
        <w:t xml:space="preserve">ustomers reported inadequate communication to the community when water-related issues </w:t>
      </w:r>
      <w:r w:rsidRPr="00D40218">
        <w:t>occur</w:t>
      </w:r>
      <w:r>
        <w:t>red</w:t>
      </w:r>
      <w:r w:rsidR="00D162F6" w:rsidRPr="00D40218">
        <w:t xml:space="preserve"> and the inability to directly contact the </w:t>
      </w:r>
      <w:r w:rsidR="00184EDA">
        <w:t>U</w:t>
      </w:r>
      <w:r w:rsidR="00D162F6" w:rsidRPr="00D40218">
        <w:t>tility. Currently, a phone number to the Sunlake Estates’ community management is provided to the Utility’s customers, which then forwards calls to the Utility staff as needed.</w:t>
      </w:r>
      <w:r w:rsidR="00D162F6" w:rsidRPr="00D40218">
        <w:rPr>
          <w:rStyle w:val="FootnoteReference"/>
        </w:rPr>
        <w:footnoteReference w:id="4"/>
      </w:r>
      <w:r w:rsidR="00D162F6" w:rsidRPr="00D40218">
        <w:t xml:space="preserve"> Customer comments suggest that this indirect communication might result in an undercount of historic complaints. </w:t>
      </w:r>
    </w:p>
    <w:p w14:paraId="7BCBBFCB" w14:textId="60F971AF" w:rsidR="00D162F6" w:rsidRDefault="00D162F6" w:rsidP="00D162F6">
      <w:pPr>
        <w:pStyle w:val="BodyText"/>
      </w:pPr>
      <w:r w:rsidRPr="00D40218">
        <w:t xml:space="preserve">Rule 25-30.130, F.A.C., requires </w:t>
      </w:r>
      <w:r w:rsidR="000D05DA">
        <w:t xml:space="preserve">that </w:t>
      </w:r>
      <w:r w:rsidRPr="00D40218">
        <w:t xml:space="preserve">the </w:t>
      </w:r>
      <w:r w:rsidR="006B234A">
        <w:t>u</w:t>
      </w:r>
      <w:r w:rsidRPr="00D40218">
        <w:t xml:space="preserve">tility </w:t>
      </w:r>
      <w:r w:rsidR="00611C73">
        <w:t xml:space="preserve">to </w:t>
      </w:r>
      <w:r w:rsidRPr="00D40218">
        <w:t>maintain records of all complaints for a minimum of five years. Pursuant to Rule 25-30.355, F.A.C., a complaint is defined as an objection made to a utility by a customer. Staff recommends that the Utility should record information required by Rule 25-</w:t>
      </w:r>
      <w:r w:rsidR="00B05987">
        <w:t>30.</w:t>
      </w:r>
      <w:r w:rsidRPr="00D40218">
        <w:t>130, F.A.C., for all customer complaints regardless of whether the complaints are received directly from the end-use customer or indirectly through Sunlake Estates’ community management.</w:t>
      </w:r>
      <w:r>
        <w:t xml:space="preserve"> </w:t>
      </w:r>
    </w:p>
    <w:p w14:paraId="5289C1FC" w14:textId="7624FB95" w:rsidR="00D162F6" w:rsidRDefault="00D162F6" w:rsidP="00D162F6">
      <w:pPr>
        <w:pStyle w:val="BodyText"/>
      </w:pPr>
      <w:r>
        <w:t xml:space="preserve">Regarding the frequency of line breaks, Commission staff inquired what steps, if any, Sunlake intended to take to reduce service interruptions. As an initial measure, the Utility installed valves in 2022 </w:t>
      </w:r>
      <w:r w:rsidR="00F244F4">
        <w:t xml:space="preserve">to </w:t>
      </w:r>
      <w:r>
        <w:t>isolat</w:t>
      </w:r>
      <w:r w:rsidR="0018358D">
        <w:t>e</w:t>
      </w:r>
      <w:r>
        <w:t xml:space="preserve"> portions of the system, as prior outages would impact the entire water system. The Utility responded that a full system replacement was not necessary based on the nature and frequency of the line breaks.</w:t>
      </w:r>
      <w:r>
        <w:rPr>
          <w:rStyle w:val="FootnoteReference"/>
        </w:rPr>
        <w:footnoteReference w:id="5"/>
      </w:r>
      <w:r>
        <w:t xml:space="preserve"> Instead, the Utility explained that it relies on a repair and maintenance approach rather than system wide replacement since these interruptions were deemed to be isolated or localized rather than systemic.</w:t>
      </w:r>
    </w:p>
    <w:p w14:paraId="09E3C87A" w14:textId="55FE032C" w:rsidR="00D162F6" w:rsidRDefault="00D162F6" w:rsidP="00D162F6">
      <w:pPr>
        <w:pStyle w:val="BodyText"/>
      </w:pPr>
      <w:r>
        <w:t>Pursuant to Rule 25-30.251, F.A.C.,</w:t>
      </w:r>
      <w:r w:rsidDel="00E81519">
        <w:t xml:space="preserve"> </w:t>
      </w:r>
      <w:r>
        <w:t xml:space="preserve">the </w:t>
      </w:r>
      <w:r w:rsidR="005C5F7D">
        <w:t>u</w:t>
      </w:r>
      <w:r>
        <w:t xml:space="preserve">tility is required to maintain a record of all interruptions in service which affect 10 percent or more of its customers and to notify the Commission of the interruptions. The </w:t>
      </w:r>
      <w:r w:rsidR="00B05987">
        <w:t>r</w:t>
      </w:r>
      <w:r>
        <w:t xml:space="preserve">ule further states the </w:t>
      </w:r>
      <w:r w:rsidR="005C5F7D">
        <w:t>u</w:t>
      </w:r>
      <w:r>
        <w:t>tility must provide the cause of the interruption, the date, time, duration, remedy, and steps taken to prevent reoccurrence. In response to staff’s sixth data request, the Utility provided service interruption data for the period 2021 through 2026.</w:t>
      </w:r>
      <w:r>
        <w:rPr>
          <w:rStyle w:val="FootnoteReference"/>
        </w:rPr>
        <w:footnoteReference w:id="6"/>
      </w:r>
      <w:r>
        <w:t xml:space="preserve"> According to the Utility’s data, complete system outages impacting all the customers happened once each in 2022 and 2023, seven times in 2024, and twice in 2025. In addition, there were five line breaks impacting between 14 to 42 percent of customers in 2025, and entries for several other service interruptions with multiple sites listed as impacted in the description, but for which the Utility stated there were no sites impacted in its total. Some</w:t>
      </w:r>
      <w:r w:rsidRPr="007E213D">
        <w:t xml:space="preserve"> customer</w:t>
      </w:r>
      <w:r>
        <w:t xml:space="preserve"> comment</w:t>
      </w:r>
      <w:r w:rsidRPr="007E213D">
        <w:t xml:space="preserve">s </w:t>
      </w:r>
      <w:r>
        <w:t xml:space="preserve">provided </w:t>
      </w:r>
      <w:r w:rsidR="00F244F4">
        <w:t xml:space="preserve">a </w:t>
      </w:r>
      <w:r>
        <w:t xml:space="preserve">different </w:t>
      </w:r>
      <w:r w:rsidR="00F244F4">
        <w:t>number</w:t>
      </w:r>
      <w:r>
        <w:t xml:space="preserve"> of interruptions than those reported by the Utility. Overall, there were at least 18 instances between 2022 and 2026 that the Utility should have informed the Commission</w:t>
      </w:r>
      <w:r w:rsidR="00F244F4">
        <w:t xml:space="preserve"> of</w:t>
      </w:r>
      <w:r>
        <w:t>, but did not do so. Subsequent to staff’s data request, the Utility state</w:t>
      </w:r>
      <w:r w:rsidR="00F244F4">
        <w:t>d</w:t>
      </w:r>
      <w:r>
        <w:t xml:space="preserve"> it has now established a protocol to comply with Rule </w:t>
      </w:r>
      <w:r w:rsidR="00B05987">
        <w:t>25-</w:t>
      </w:r>
      <w:r>
        <w:t>30.251(2), F.A.C.</w:t>
      </w:r>
    </w:p>
    <w:p w14:paraId="028EA154" w14:textId="4B5E88F0" w:rsidR="00D162F6" w:rsidRDefault="00D162F6" w:rsidP="00D162F6">
      <w:pPr>
        <w:pStyle w:val="BodyText"/>
      </w:pPr>
      <w:r>
        <w:t xml:space="preserve">A small fraction of customers also had concerns regarding water meter accuracy, calibration, and inconsistencies. Rule 25-30.265, F.A.C., outlines the intervals that utilities must inspect and test </w:t>
      </w:r>
      <w:r w:rsidR="00611C73">
        <w:t xml:space="preserve">their </w:t>
      </w:r>
      <w:r>
        <w:t>meters, with a maximum interval of 8 to 10 years between tests for commonly used residential meter sizes. In response to staff’s sixth data request, Sunlake reported it did not have a formal meter testing program and that meter testing and inspections were performed on an as-needed basis.</w:t>
      </w:r>
      <w:r>
        <w:rPr>
          <w:rStyle w:val="FootnoteReference"/>
        </w:rPr>
        <w:footnoteReference w:id="7"/>
      </w:r>
      <w:r>
        <w:t xml:space="preserve"> Sunlake indicated it had only received one customer request for meter testing since 2020. </w:t>
      </w:r>
    </w:p>
    <w:p w14:paraId="34CFBF0D" w14:textId="77777777" w:rsidR="00D162F6" w:rsidRDefault="00D162F6" w:rsidP="00D162F6">
      <w:pPr>
        <w:pStyle w:val="BodyText"/>
      </w:pPr>
      <w:r>
        <w:t xml:space="preserve">Staff performed a supplemental review of the complaints filed in CATS following the customer meeting and found two additional complaints as of June 30, 2026. Both complaints were associated with service interruptions. </w:t>
      </w:r>
    </w:p>
    <w:p w14:paraId="20E11DA9" w14:textId="77777777" w:rsidR="00D162F6" w:rsidRDefault="00D162F6" w:rsidP="00D162F6">
      <w:pPr>
        <w:pStyle w:val="First-LevelSubheading"/>
      </w:pPr>
      <w:r>
        <w:t>Managerial Concerns</w:t>
      </w:r>
    </w:p>
    <w:p w14:paraId="773B8EE5" w14:textId="64AA6B02" w:rsidR="00D162F6" w:rsidRDefault="00D162F6" w:rsidP="00D162F6">
      <w:pPr>
        <w:pStyle w:val="BodyText"/>
      </w:pPr>
      <w:r>
        <w:t>Overall, staff’s review of the Utility’s attempt to address customer satisfaction demonstrates issues related to poor recordkeeping and reporting by Utility management. Such actions can negatively impact the customer service provided by Sunlake. Sunlake has committed to properly notify the Commission of service interruptions</w:t>
      </w:r>
      <w:r w:rsidR="000D05DA">
        <w:t>. However,</w:t>
      </w:r>
      <w:r w:rsidR="0018358D">
        <w:t xml:space="preserve"> </w:t>
      </w:r>
      <w:r>
        <w:t xml:space="preserve">staff recommends that Sunlake be required to submit, within 30 days of the Commission’s Order becoming final, </w:t>
      </w:r>
      <w:r w:rsidRPr="00E43543">
        <w:t>a plan</w:t>
      </w:r>
      <w:r>
        <w:t xml:space="preserve"> describing how it will accomplish the following</w:t>
      </w:r>
      <w:r w:rsidR="0018358D">
        <w:t>, to remedy the remaining concerns raised by customers</w:t>
      </w:r>
      <w:r>
        <w:t>:</w:t>
      </w:r>
    </w:p>
    <w:p w14:paraId="42E5D15D" w14:textId="77777777" w:rsidR="00D162F6" w:rsidRDefault="00D162F6" w:rsidP="00D162F6">
      <w:pPr>
        <w:pStyle w:val="BodyText"/>
        <w:numPr>
          <w:ilvl w:val="0"/>
          <w:numId w:val="11"/>
        </w:numPr>
      </w:pPr>
      <w:r>
        <w:t>Regarding complaints, the Utility must document and maintain records of all customer complaints whether received directly from the customer or indirectly through another entity such as Sunlake Estates’ community management, pursuant to Rule 25-30.130, F.A.C. In addition, when the Utility provides acknowledgement and responses to a complaint pursuant to Rule 25-30.355, F.A.C., it should do so to the original customer who provided the complaint, even if it was indirectly provided to the Utility by its parent or affiliate companies.</w:t>
      </w:r>
    </w:p>
    <w:p w14:paraId="059DC577" w14:textId="4C9497B3" w:rsidR="00D162F6" w:rsidRDefault="00D162F6" w:rsidP="00D162F6">
      <w:pPr>
        <w:pStyle w:val="BodyText"/>
        <w:numPr>
          <w:ilvl w:val="0"/>
          <w:numId w:val="11"/>
        </w:numPr>
      </w:pPr>
      <w:r>
        <w:t>Regarding meter testing, the Utility must begin conducting regular meter testing at the required intervals pursuant to Rule 25-30.265, F.A.C. Additionally, the Utility must perform meter tests upon customer request and keep and maintain records of all tests performed.</w:t>
      </w:r>
    </w:p>
    <w:p w14:paraId="10AD1032" w14:textId="77777777" w:rsidR="00D162F6" w:rsidRDefault="00D162F6" w:rsidP="00D162F6">
      <w:pPr>
        <w:pStyle w:val="First-LevelSubheading"/>
      </w:pPr>
      <w:r>
        <w:t>Conclusion</w:t>
      </w:r>
    </w:p>
    <w:p w14:paraId="5A52F6D9" w14:textId="77777777" w:rsidR="00D162F6" w:rsidRPr="004C3641" w:rsidRDefault="00D162F6" w:rsidP="00D162F6">
      <w:pPr>
        <w:pStyle w:val="IssueSubsectionHeading"/>
        <w:rPr>
          <w:vanish/>
          <w:specVanish/>
        </w:rPr>
      </w:pPr>
    </w:p>
    <w:p w14:paraId="6D478042" w14:textId="46C191B8" w:rsidR="00555E72" w:rsidRPr="00555E72" w:rsidRDefault="00D162F6" w:rsidP="00D162F6">
      <w:pPr>
        <w:spacing w:after="240"/>
        <w:jc w:val="both"/>
        <w:outlineLvl w:val="1"/>
        <w:rPr>
          <w:rFonts w:ascii="Arial" w:hAnsi="Arial" w:cs="Arial"/>
          <w:b/>
          <w:bCs/>
          <w:i/>
          <w:iCs/>
          <w:vanish/>
          <w:szCs w:val="28"/>
        </w:rPr>
      </w:pPr>
      <w:r>
        <w:t xml:space="preserve">While Sunlake’s product is in compliance with the rules and regulations of the DEP, staff does not believe the Utility adequately demonstrated an ability to </w:t>
      </w:r>
      <w:r w:rsidRPr="006C7682">
        <w:t>address customer satisfaction</w:t>
      </w:r>
      <w:r>
        <w:t xml:space="preserve"> due to concerns regarding recordkeeping and communications with its customers. Staff recommends the quality of service be considered marginal, and the Utility be required to file a plan outlining how it will improve its recordkeeping and customer communications within 30 days of this Order becoming final. </w:t>
      </w:r>
      <w:r w:rsidR="004F5164">
        <w:t>S</w:t>
      </w:r>
      <w:r>
        <w:t>taff does not recommend a penalty at this time.</w:t>
      </w:r>
    </w:p>
    <w:p w14:paraId="7CBFCD5F" w14:textId="2E99437E" w:rsidR="00C05CAF" w:rsidRPr="00875D78" w:rsidRDefault="00555E72" w:rsidP="00C05CAF">
      <w:pPr>
        <w:pStyle w:val="IssueHeading"/>
        <w:rPr>
          <w:vanish/>
          <w:specVanish/>
        </w:rPr>
      </w:pPr>
      <w:r w:rsidRPr="00555E72">
        <w:br w:type="page"/>
        <w:t xml:space="preserve">Issue </w:t>
      </w:r>
      <w:r w:rsidR="00AD1D97">
        <w:fldChar w:fldCharType="begin"/>
      </w:r>
      <w:r w:rsidR="00AD1D97">
        <w:instrText xml:space="preserve"> SEQ Issue \* MERGEFORMAT </w:instrText>
      </w:r>
      <w:r w:rsidR="00AD1D97">
        <w:fldChar w:fldCharType="separate"/>
      </w:r>
      <w:r w:rsidR="00AD1D97">
        <w:rPr>
          <w:noProof/>
        </w:rPr>
        <w:t>2</w:t>
      </w:r>
      <w:r w:rsidR="00AD1D97">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18" w:name="_Toc224892264"/>
      <w:bookmarkStart w:id="19" w:name="_Toc231452270"/>
      <w:r w:rsidR="00AD1D97">
        <w:rPr>
          <w:noProof/>
        </w:rPr>
        <w:instrText>2</w:instrText>
      </w:r>
      <w:r w:rsidRPr="00555E72">
        <w:rPr>
          <w:b w:val="0"/>
          <w:bCs w:val="0"/>
          <w:i w:val="0"/>
        </w:rPr>
        <w:fldChar w:fldCharType="end"/>
      </w:r>
      <w:r w:rsidRPr="00555E72">
        <w:tab/>
        <w:instrText>Used and Useful</w:instrText>
      </w:r>
      <w:bookmarkEnd w:id="18"/>
      <w:bookmarkEnd w:id="19"/>
      <w:r w:rsidRPr="00555E72">
        <w:instrText xml:space="preserve">" \l 1 </w:instrText>
      </w:r>
      <w:r w:rsidRPr="00555E72">
        <w:rPr>
          <w:b w:val="0"/>
          <w:bCs w:val="0"/>
          <w:i w:val="0"/>
        </w:rPr>
        <w:fldChar w:fldCharType="end"/>
      </w:r>
      <w:r w:rsidR="00C05CAF" w:rsidRPr="00555E72">
        <w:t> </w:t>
      </w:r>
    </w:p>
    <w:p w14:paraId="299E3ABB" w14:textId="6536A980" w:rsidR="00555E72" w:rsidRPr="00555E72" w:rsidRDefault="00C05CAF" w:rsidP="00C05CAF">
      <w:pPr>
        <w:pStyle w:val="BodyText"/>
      </w:pPr>
      <w:r w:rsidRPr="00555E72">
        <w:rPr>
          <w:rFonts w:ascii="Arial" w:hAnsi="Arial" w:cs="Arial"/>
          <w:b/>
          <w:bCs/>
          <w:i/>
          <w:kern w:val="32"/>
          <w:szCs w:val="32"/>
        </w:rPr>
        <w:t> </w:t>
      </w:r>
      <w:r w:rsidR="002C4F65">
        <w:t>Are the infrastructure and operating conditions of Sunlake Estates Utilities, L.L.C. in compliance with DEP regulations?</w:t>
      </w:r>
    </w:p>
    <w:p w14:paraId="775FE27F" w14:textId="2D97C616"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7246C7A3" w14:textId="3EA280CA" w:rsidR="007D7227" w:rsidRPr="00086203" w:rsidRDefault="00C05CAF" w:rsidP="00394AA3">
      <w:pPr>
        <w:spacing w:after="240"/>
        <w:jc w:val="both"/>
        <w:outlineLvl w:val="1"/>
      </w:pPr>
      <w:r w:rsidRPr="00555E72">
        <w:rPr>
          <w:rFonts w:ascii="Arial" w:hAnsi="Arial" w:cs="Arial"/>
          <w:b/>
          <w:bCs/>
          <w:i/>
          <w:kern w:val="32"/>
          <w:szCs w:val="32"/>
        </w:rPr>
        <w:t> </w:t>
      </w:r>
      <w:r w:rsidR="002C4F65">
        <w:t>Yes. Sunlake Estates Utilities, L.L.C.’s water system is in compliance with the rules and regulations of the DEP. (Willis)</w:t>
      </w:r>
    </w:p>
    <w:p w14:paraId="2485437A" w14:textId="26DDF58A"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7FF6AD0E" w14:textId="277A5E1D" w:rsidR="002C4F65" w:rsidRDefault="00086203" w:rsidP="00086203">
      <w:pPr>
        <w:pStyle w:val="BodyText"/>
      </w:pPr>
      <w:r w:rsidRPr="00555E72">
        <w:rPr>
          <w:rFonts w:ascii="Arial" w:hAnsi="Arial" w:cs="Arial"/>
          <w:b/>
          <w:bCs/>
          <w:i/>
          <w:kern w:val="32"/>
          <w:szCs w:val="32"/>
        </w:rPr>
        <w:t> </w:t>
      </w:r>
      <w:r w:rsidR="002C4F65">
        <w:t>Rule 25-30.225(2), F.A.C., requires each water utility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sanitary surveys for water systems, citations, violations and consent orders issued to the utility, customer testimony, comments, complaints, utility testimony, and responses to the aforementioned items.</w:t>
      </w:r>
    </w:p>
    <w:p w14:paraId="3559E613" w14:textId="77777777" w:rsidR="002C4F65" w:rsidRDefault="002C4F65" w:rsidP="002C4F65">
      <w:pPr>
        <w:pStyle w:val="First-LevelSubheading"/>
      </w:pPr>
      <w:r>
        <w:t>Water System Operating Conditions</w:t>
      </w:r>
    </w:p>
    <w:p w14:paraId="54DC47A2" w14:textId="476B5D1D" w:rsidR="002C4F65" w:rsidRPr="00885855" w:rsidRDefault="002C4F65" w:rsidP="002C4F65">
      <w:pPr>
        <w:pStyle w:val="BodyText"/>
      </w:pPr>
      <w:r>
        <w:t>Sunlake’s water system has a permitted capacity of 639,000 gallons per day and has two 12-inch diameter wells and one hydropneumatic storage tank. Well No. 1 has a pumping capacity of 500 gallons per minute (gpm). Well No. 2 has a pumping capacity of 588 gpm. The single hydropneumatic storage tank has a capacity of 10,500 gallons. The groundwater is treated by hypochlorination. The DEP conducted an inspection of Sunlake’s water treatment plant (WTP) on July 2, 2024. The resulting Sanitary Survey Report indicated the facility was in compliance with the DEP’s rules and regulations, e</w:t>
      </w:r>
      <w:r w:rsidR="00672452">
        <w:t>xc</w:t>
      </w:r>
      <w:r>
        <w:t>e</w:t>
      </w:r>
      <w:r w:rsidR="00672452">
        <w:t>p</w:t>
      </w:r>
      <w:r>
        <w:t>t for the groundwater quality, which was resolved, as stated in Issue 1.</w:t>
      </w:r>
    </w:p>
    <w:p w14:paraId="21B4FECD" w14:textId="77777777" w:rsidR="002C4F65" w:rsidRDefault="002C4F65" w:rsidP="002C4F65">
      <w:pPr>
        <w:pStyle w:val="First-LevelSubheading"/>
      </w:pPr>
      <w:r>
        <w:t>Conclusion</w:t>
      </w:r>
    </w:p>
    <w:p w14:paraId="379FB5FF" w14:textId="77777777" w:rsidR="002C4F65" w:rsidRDefault="002C4F65" w:rsidP="002C4F65">
      <w:pPr>
        <w:pStyle w:val="BodyText"/>
      </w:pPr>
      <w:r>
        <w:t>Sunlake’s water treatment facility is in compliance with the rules and regulations of the DEP.</w:t>
      </w:r>
    </w:p>
    <w:p w14:paraId="1489E072" w14:textId="4F126E80" w:rsidR="00C05CAF" w:rsidRPr="00875D78" w:rsidRDefault="00555E72" w:rsidP="00C05CAF">
      <w:pPr>
        <w:pStyle w:val="IssueHeading"/>
        <w:rPr>
          <w:vanish/>
          <w:specVanish/>
        </w:rPr>
      </w:pPr>
      <w:r w:rsidRPr="00555E72">
        <w:br w:type="page"/>
        <w:t xml:space="preserve">Issue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3</w:t>
      </w:r>
      <w:r w:rsidR="00C8514D" w:rsidRPr="00C8514D">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20" w:name="_Toc224892265"/>
      <w:bookmarkStart w:id="21" w:name="_Toc231452271"/>
      <w:r w:rsidR="00AD1D97">
        <w:rPr>
          <w:noProof/>
        </w:rPr>
        <w:instrText>3</w:instrText>
      </w:r>
      <w:r w:rsidRPr="00555E72">
        <w:rPr>
          <w:b w:val="0"/>
          <w:bCs w:val="0"/>
          <w:i w:val="0"/>
        </w:rPr>
        <w:fldChar w:fldCharType="end"/>
      </w:r>
      <w:r w:rsidRPr="00555E72">
        <w:tab/>
        <w:instrText>Average Test Year Rate Base</w:instrText>
      </w:r>
      <w:bookmarkEnd w:id="20"/>
      <w:bookmarkEnd w:id="21"/>
      <w:r w:rsidRPr="00555E72">
        <w:instrText xml:space="preserve">" \l 1 </w:instrText>
      </w:r>
      <w:r w:rsidRPr="00555E72">
        <w:rPr>
          <w:b w:val="0"/>
          <w:bCs w:val="0"/>
          <w:i w:val="0"/>
        </w:rPr>
        <w:fldChar w:fldCharType="end"/>
      </w:r>
      <w:r w:rsidR="00C05CAF" w:rsidRPr="00555E72">
        <w:t> </w:t>
      </w:r>
    </w:p>
    <w:p w14:paraId="64C135AC" w14:textId="0874211A" w:rsidR="00555E72" w:rsidRPr="00555E72" w:rsidRDefault="00C05CAF" w:rsidP="00C05CAF">
      <w:pPr>
        <w:spacing w:after="240"/>
        <w:jc w:val="both"/>
        <w:outlineLvl w:val="1"/>
      </w:pPr>
      <w:r w:rsidRPr="00555E72">
        <w:rPr>
          <w:rFonts w:ascii="Arial" w:hAnsi="Arial" w:cs="Arial"/>
          <w:b/>
          <w:bCs/>
          <w:i/>
          <w:kern w:val="32"/>
          <w:szCs w:val="32"/>
        </w:rPr>
        <w:t> </w:t>
      </w:r>
      <w:r w:rsidR="002C4F65" w:rsidRPr="00555E72">
        <w:t>What are the used and useful (U&amp;U) percentages of Sunlake Estates Utilities, L.L.C.’s water treatment plant (WTP) and water distribution system?</w:t>
      </w:r>
    </w:p>
    <w:p w14:paraId="036B8E16" w14:textId="21FE8AE1"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1A335DF1" w14:textId="4D3024B4" w:rsidR="007D7227" w:rsidRPr="00086203" w:rsidRDefault="00C05CAF" w:rsidP="002C4F65">
      <w:pPr>
        <w:spacing w:after="240"/>
        <w:jc w:val="both"/>
        <w:outlineLvl w:val="1"/>
      </w:pPr>
      <w:r w:rsidRPr="00555E72">
        <w:rPr>
          <w:rFonts w:ascii="Arial" w:hAnsi="Arial" w:cs="Arial"/>
          <w:b/>
          <w:bCs/>
          <w:i/>
          <w:kern w:val="32"/>
          <w:szCs w:val="32"/>
        </w:rPr>
        <w:t> </w:t>
      </w:r>
      <w:r w:rsidR="002C4F65">
        <w:t xml:space="preserve">Sunlake’s WTP and water distribution </w:t>
      </w:r>
      <w:r w:rsidR="0018358D">
        <w:t>system</w:t>
      </w:r>
      <w:r w:rsidR="002C4F65">
        <w:t xml:space="preserve"> should both be considered 100 percent U&amp;U. Additionally, a</w:t>
      </w:r>
      <w:r w:rsidR="00FA368C">
        <w:t>n</w:t>
      </w:r>
      <w:r w:rsidR="002C4F65">
        <w:t xml:space="preserve"> 11.78 percent adjustment should be made to reduce the operating expenses for chemicals and purchased power for excessive unaccounted for water (EUW). (Willis)</w:t>
      </w:r>
    </w:p>
    <w:p w14:paraId="666CEB95" w14:textId="3609395C"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144F13D3" w14:textId="7B969488" w:rsidR="002C4F65" w:rsidRDefault="00086203" w:rsidP="00086203">
      <w:pPr>
        <w:spacing w:after="240"/>
        <w:jc w:val="both"/>
        <w:outlineLvl w:val="1"/>
      </w:pPr>
      <w:r w:rsidRPr="00555E72">
        <w:rPr>
          <w:rFonts w:ascii="Arial" w:hAnsi="Arial" w:cs="Arial"/>
          <w:b/>
          <w:bCs/>
          <w:i/>
          <w:kern w:val="32"/>
          <w:szCs w:val="32"/>
        </w:rPr>
        <w:t> </w:t>
      </w:r>
      <w:r w:rsidR="002C4F65">
        <w:t>As stated in Issue 2, Sunlake’s water system is served by two 12-inch diameter wells rated at 500 gpm and 588 gpm. The Utility</w:t>
      </w:r>
      <w:r w:rsidR="0018358D">
        <w:t>’s WTP</w:t>
      </w:r>
      <w:r w:rsidR="002C4F65">
        <w:t xml:space="preserve"> is permitted by DEP to </w:t>
      </w:r>
      <w:r w:rsidR="0018358D">
        <w:t>treat</w:t>
      </w:r>
      <w:r w:rsidR="002C4F65">
        <w:t xml:space="preserve"> an average of 639,000 gallons per day. In response to staff’s data requests, the water distribution system is composed of 3,102 feet of 2-inch and 8,389 feet of 6-inch Polyvinyl Chloride pipe.</w:t>
      </w:r>
      <w:r w:rsidR="002C4F65">
        <w:rPr>
          <w:rStyle w:val="FootnoteReference"/>
        </w:rPr>
        <w:footnoteReference w:id="8"/>
      </w:r>
      <w:r w:rsidR="002C4F65">
        <w:t xml:space="preserve"> Additionally, the system has 40 fire hydrants.</w:t>
      </w:r>
    </w:p>
    <w:p w14:paraId="38B842B8" w14:textId="77777777" w:rsidR="002C4F65" w:rsidRDefault="002C4F65" w:rsidP="002C4F65">
      <w:pPr>
        <w:pStyle w:val="First-LevelSubheading"/>
      </w:pPr>
      <w:r>
        <w:t>Excessive Unaccounted for Water</w:t>
      </w:r>
    </w:p>
    <w:p w14:paraId="0FE4681C" w14:textId="055F1AF1" w:rsidR="002C4F65" w:rsidRDefault="002C4F65" w:rsidP="002C4F65">
      <w:pPr>
        <w:pStyle w:val="BodyText"/>
      </w:pPr>
      <w:r>
        <w:t xml:space="preserve">Rule 25-30.4325, F.A.C., provides factors to be considered in determining whether adjustments to operating expenses are necessary for EUW. EUW is defined </w:t>
      </w:r>
      <w:r w:rsidR="000D05DA">
        <w:t xml:space="preserve">by Rule 25-30.4325, F.A.C., </w:t>
      </w:r>
      <w:r>
        <w:t>as “unaccounted for water in excess of 10 percent of the amount produced.” Unaccounted for water is all water that is not sold, metered, or accounted for in the records of the utility.</w:t>
      </w:r>
    </w:p>
    <w:p w14:paraId="487AB6CA" w14:textId="77777777" w:rsidR="002C4F65" w:rsidRDefault="002C4F65" w:rsidP="002C4F65">
      <w:pPr>
        <w:pStyle w:val="BodyText"/>
      </w:pPr>
      <w:r>
        <w:t>EUW is calculated by subtracting both the gallons sold to customers and the gallons used for other services such as line flushing, from the total gallons pumped and purchased for the test year, and dividing by the sum of the gallons pumped and purchased. The amount in excess of 10 percent of the amount pumped and purchased, if any, is the EUW percentage.</w:t>
      </w:r>
    </w:p>
    <w:p w14:paraId="2AC2E8DF" w14:textId="64AE1368" w:rsidR="002C4F65" w:rsidRDefault="002C4F65" w:rsidP="002C4F65">
      <w:pPr>
        <w:pStyle w:val="BodyText"/>
      </w:pPr>
      <w:r>
        <w:t xml:space="preserve">A review of Sunlake’s 2024 monthly operating reports on file with the DEP indicates the </w:t>
      </w:r>
      <w:r w:rsidR="005B0EF2">
        <w:t>U</w:t>
      </w:r>
      <w:r>
        <w:t>tility produced 47,507,000 gallons of water during the test year. In response to staff’s data requests, the Utility indicated that it purchases no water and identified that it flushes the 40 fire hydrants in its service territory every three (3) months, or quarterly. The Utility provided multiple estimates of flushing values, ranging from 400,000 gallons to 2,508,572 gallons based on different flow rates. Staff recommends the</w:t>
      </w:r>
      <w:r w:rsidRPr="00FC6512">
        <w:t xml:space="preserve"> amount of water used for line and hydrant flushing </w:t>
      </w:r>
      <w:r>
        <w:t>should be</w:t>
      </w:r>
      <w:r w:rsidRPr="00FC6512">
        <w:t xml:space="preserve"> estimated to be approximately 400,000 gallons per year</w:t>
      </w:r>
      <w:r>
        <w:t>, based on the more typical 500 gpm rate.</w:t>
      </w:r>
      <w:r>
        <w:rPr>
          <w:rStyle w:val="FootnoteReference"/>
        </w:rPr>
        <w:footnoteReference w:id="9"/>
      </w:r>
      <w:r>
        <w:t xml:space="preserve"> The Utility provided an estimate of line losses from known water breaks during the test year, but the estimated water lost exceeded the amount produced in all months and during the test year as a whole when properly calculated, therefore staff made no adjustment for line losses.</w:t>
      </w:r>
      <w:r>
        <w:rPr>
          <w:rStyle w:val="FootnoteReference"/>
        </w:rPr>
        <w:footnoteReference w:id="10"/>
      </w:r>
      <w:r>
        <w:t xml:space="preserve"> An examination of the Utility’s billing records indicated 32,391,440 gallons were sold to residen</w:t>
      </w:r>
      <w:r w:rsidRPr="00DF098F">
        <w:t>tial and 4,370,718 g</w:t>
      </w:r>
      <w:r>
        <w:t>allons were sold to general service customers for a total of</w:t>
      </w:r>
      <w:bookmarkStart w:id="23" w:name="_Hlk233120810"/>
      <w:r>
        <w:t xml:space="preserve"> 3</w:t>
      </w:r>
      <w:bookmarkEnd w:id="23"/>
      <w:r>
        <w:t>6,762,158 gallons sold. The calculation (47,507,000 + 0 –</w:t>
      </w:r>
      <w:r w:rsidR="00B45108">
        <w:t xml:space="preserve"> </w:t>
      </w:r>
      <w:r w:rsidRPr="00315CF4">
        <w:t>3</w:t>
      </w:r>
      <w:r>
        <w:t>6,762,158 – 400,000)/(47,507,000 + 0) results in 21.78 percent unaccounted for water. The Rule allows a 10 percent margin; therefore, there is 11.78 percent EUW.</w:t>
      </w:r>
    </w:p>
    <w:p w14:paraId="5D707F97" w14:textId="77777777" w:rsidR="00534473" w:rsidRDefault="00534473" w:rsidP="002C4F65">
      <w:pPr>
        <w:pStyle w:val="BodyText"/>
      </w:pPr>
    </w:p>
    <w:p w14:paraId="126C8895" w14:textId="77777777" w:rsidR="002C4F65" w:rsidRDefault="002C4F65" w:rsidP="002C4F65">
      <w:pPr>
        <w:pStyle w:val="First-LevelSubheading"/>
      </w:pPr>
      <w:r>
        <w:t>Used and Useful Percentages</w:t>
      </w:r>
    </w:p>
    <w:p w14:paraId="68C0803D" w14:textId="0ECF3429" w:rsidR="002C4F65" w:rsidRDefault="002C4F65" w:rsidP="002C4F65">
      <w:pPr>
        <w:pStyle w:val="BodyText"/>
      </w:pPr>
      <w:r>
        <w:t>Rule 25-30.4325, F.A.C., also addresses the method by which the U&amp;U percentage of a water system is determined. Rule 25-30.4325(4), F.A.C., states that a water treatment system is considered 100 percent U&amp;U if the service territory the system is designed to serve is built out and there is no apparent potential for expansion of the service territory</w:t>
      </w:r>
      <w:r w:rsidR="000D05DA">
        <w:t>,</w:t>
      </w:r>
      <w:r>
        <w:t xml:space="preserve"> or the system is served by a single well. During its original certification</w:t>
      </w:r>
      <w:r w:rsidR="00D77096">
        <w:t>,</w:t>
      </w:r>
      <w:r>
        <w:t xml:space="preserve"> </w:t>
      </w:r>
      <w:r w:rsidR="00534473">
        <w:t xml:space="preserve">issued </w:t>
      </w:r>
      <w:r>
        <w:t>in 201</w:t>
      </w:r>
      <w:r w:rsidR="00534473">
        <w:t>4</w:t>
      </w:r>
      <w:r>
        <w:t>, the Commission determined that the territory was built-out, resulting in a 100 percent U&amp;U for the WTP and distribution system.</w:t>
      </w:r>
      <w:r>
        <w:rPr>
          <w:rStyle w:val="FootnoteReference"/>
        </w:rPr>
        <w:footnoteReference w:id="11"/>
      </w:r>
      <w:r>
        <w:t xml:space="preserve"> Because there have been no significant changes to the water system or service territory since this determination, the U&amp;U percentage for Sunlake’s WTP and distribution system should be considered to be 100 percent.</w:t>
      </w:r>
    </w:p>
    <w:p w14:paraId="3C048245" w14:textId="77777777" w:rsidR="002C4F65" w:rsidRDefault="002C4F65" w:rsidP="002C4F65">
      <w:pPr>
        <w:pStyle w:val="First-LevelSubheading"/>
      </w:pPr>
      <w:r>
        <w:t>Conclusion</w:t>
      </w:r>
    </w:p>
    <w:p w14:paraId="1406704E" w14:textId="66BE4253" w:rsidR="002C4F65" w:rsidRPr="00A90258" w:rsidRDefault="002C4F65" w:rsidP="002C4F65">
      <w:pPr>
        <w:pStyle w:val="BodyText"/>
      </w:pPr>
      <w:r w:rsidRPr="00EF13F8">
        <w:t xml:space="preserve">Sunlake’s WTP and water distribution </w:t>
      </w:r>
      <w:r w:rsidR="0018358D">
        <w:t>system</w:t>
      </w:r>
      <w:r w:rsidRPr="00EF13F8">
        <w:t xml:space="preserve"> should both be considered 100 percent U&amp;U. Additionally, a</w:t>
      </w:r>
      <w:r w:rsidR="00FA368C">
        <w:t>n</w:t>
      </w:r>
      <w:r w:rsidRPr="00EF13F8">
        <w:t xml:space="preserve"> </w:t>
      </w:r>
      <w:r>
        <w:t>11.78</w:t>
      </w:r>
      <w:r w:rsidRPr="00EF13F8">
        <w:t xml:space="preserve"> percent adjustment for </w:t>
      </w:r>
      <w:r>
        <w:t>e</w:t>
      </w:r>
      <w:r w:rsidRPr="00EF13F8">
        <w:t xml:space="preserve">xcessive </w:t>
      </w:r>
      <w:r>
        <w:t>u</w:t>
      </w:r>
      <w:r w:rsidRPr="00EF13F8">
        <w:t xml:space="preserve">naccounted for </w:t>
      </w:r>
      <w:r>
        <w:t>w</w:t>
      </w:r>
      <w:r w:rsidRPr="00EF13F8">
        <w:t>ater should be made to reduce the operating expenses for chemicals and purchased power.</w:t>
      </w:r>
    </w:p>
    <w:p w14:paraId="4BDC2846" w14:textId="560F0EA4" w:rsidR="00555E72" w:rsidRPr="00555E72" w:rsidRDefault="00555E72" w:rsidP="002C4F65">
      <w:pPr>
        <w:spacing w:after="240"/>
        <w:jc w:val="both"/>
      </w:pPr>
    </w:p>
    <w:p w14:paraId="5801EEC7" w14:textId="77777777" w:rsidR="00555E72" w:rsidRPr="00555E72" w:rsidRDefault="00555E72" w:rsidP="00555E72">
      <w:pPr>
        <w:jc w:val="both"/>
      </w:pPr>
    </w:p>
    <w:p w14:paraId="341E7B74" w14:textId="77777777" w:rsidR="00657BAA" w:rsidRDefault="00555E72" w:rsidP="00555E72">
      <w:pPr>
        <w:spacing w:after="240"/>
        <w:jc w:val="both"/>
        <w:outlineLvl w:val="0"/>
        <w:rPr>
          <w:rFonts w:ascii="Arial" w:hAnsi="Arial" w:cs="Arial"/>
          <w:b/>
          <w:bCs/>
          <w:i/>
          <w:kern w:val="32"/>
          <w:szCs w:val="32"/>
        </w:rPr>
        <w:sectPr w:rsidR="00657BAA"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rsidRPr="00555E72">
        <w:rPr>
          <w:rFonts w:ascii="Arial" w:hAnsi="Arial" w:cs="Arial"/>
          <w:b/>
          <w:bCs/>
          <w:i/>
          <w:kern w:val="32"/>
          <w:szCs w:val="32"/>
        </w:rPr>
        <w:br w:type="page"/>
      </w:r>
    </w:p>
    <w:p w14:paraId="33A997FC" w14:textId="22B5776A" w:rsidR="00C05CAF" w:rsidRPr="00875D78" w:rsidRDefault="00555E72" w:rsidP="00C05CAF">
      <w:pPr>
        <w:pStyle w:val="IssueHeading"/>
        <w:rPr>
          <w:vanish/>
          <w:specVanish/>
        </w:rPr>
      </w:pPr>
      <w:r w:rsidRPr="00555E72">
        <w:t xml:space="preserve">Issue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4</w:t>
      </w:r>
      <w:r w:rsidR="00C8514D" w:rsidRPr="00C8514D">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24" w:name="_Toc224892266"/>
      <w:bookmarkStart w:id="25" w:name="_Toc231452272"/>
      <w:r w:rsidR="00AD1D97">
        <w:rPr>
          <w:noProof/>
        </w:rPr>
        <w:instrText>4</w:instrText>
      </w:r>
      <w:r w:rsidRPr="00555E72">
        <w:rPr>
          <w:b w:val="0"/>
          <w:bCs w:val="0"/>
          <w:i w:val="0"/>
        </w:rPr>
        <w:fldChar w:fldCharType="end"/>
      </w:r>
      <w:r w:rsidRPr="00555E72">
        <w:tab/>
        <w:instrText>Rate of Return</w:instrText>
      </w:r>
      <w:bookmarkEnd w:id="24"/>
      <w:bookmarkEnd w:id="25"/>
      <w:r w:rsidRPr="00555E72">
        <w:instrText xml:space="preserve">" \l 1 </w:instrText>
      </w:r>
      <w:r w:rsidRPr="00555E72">
        <w:rPr>
          <w:b w:val="0"/>
          <w:bCs w:val="0"/>
          <w:i w:val="0"/>
        </w:rPr>
        <w:fldChar w:fldCharType="end"/>
      </w:r>
      <w:bookmarkStart w:id="26" w:name="_Hlk235191080"/>
      <w:r w:rsidR="00C05CAF" w:rsidRPr="00555E72">
        <w:t> </w:t>
      </w:r>
    </w:p>
    <w:p w14:paraId="6B4536A1" w14:textId="0C3876F7" w:rsidR="00555E72" w:rsidRPr="00555E72" w:rsidRDefault="00C05CAF" w:rsidP="00C05CAF">
      <w:pPr>
        <w:spacing w:after="240"/>
        <w:jc w:val="both"/>
        <w:outlineLvl w:val="0"/>
      </w:pPr>
      <w:r w:rsidRPr="00555E72">
        <w:rPr>
          <w:rFonts w:ascii="Arial" w:hAnsi="Arial" w:cs="Arial"/>
          <w:b/>
          <w:bCs/>
          <w:i/>
          <w:kern w:val="32"/>
          <w:szCs w:val="32"/>
        </w:rPr>
        <w:t> </w:t>
      </w:r>
      <w:bookmarkEnd w:id="26"/>
      <w:r w:rsidRPr="00555E72">
        <w:t>What is the appropriate average test year rate base for Sunlake Estates Utilities, L.L.C.?</w:t>
      </w:r>
    </w:p>
    <w:p w14:paraId="484F43A4" w14:textId="47828B10"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4097BD3C" w14:textId="23E2C133" w:rsidR="00030958" w:rsidRPr="007D7227" w:rsidRDefault="00C05CAF" w:rsidP="00C05CAF">
      <w:pPr>
        <w:spacing w:after="240"/>
        <w:jc w:val="both"/>
        <w:outlineLvl w:val="1"/>
      </w:pPr>
      <w:r w:rsidRPr="00555E72">
        <w:rPr>
          <w:rFonts w:ascii="Arial" w:hAnsi="Arial" w:cs="Arial"/>
          <w:b/>
          <w:bCs/>
          <w:i/>
          <w:kern w:val="32"/>
          <w:szCs w:val="32"/>
        </w:rPr>
        <w:t> </w:t>
      </w:r>
      <w:r w:rsidR="002C4F65" w:rsidRPr="00555E72">
        <w:t xml:space="preserve">The appropriate average test year rate base for Sunlake is </w:t>
      </w:r>
      <w:r w:rsidR="004C59B9">
        <w:t>$677,077</w:t>
      </w:r>
      <w:r w:rsidR="002C4F65" w:rsidRPr="00555E72">
        <w:t>.</w:t>
      </w:r>
      <w:r w:rsidR="007D7227">
        <w:t xml:space="preserve"> </w:t>
      </w:r>
      <w:r w:rsidR="002C4F65" w:rsidRPr="00555E72">
        <w:t>(Lenberg)</w:t>
      </w:r>
    </w:p>
    <w:p w14:paraId="4521CCDB" w14:textId="101EB6F4"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0FDF6E92" w14:textId="563DB6CB" w:rsidR="002C4F65" w:rsidRPr="00555E72" w:rsidRDefault="00086203" w:rsidP="00086203">
      <w:pPr>
        <w:spacing w:after="240"/>
        <w:jc w:val="both"/>
      </w:pPr>
      <w:r w:rsidRPr="00555E72">
        <w:rPr>
          <w:rFonts w:ascii="Arial" w:hAnsi="Arial" w:cs="Arial"/>
          <w:b/>
          <w:bCs/>
          <w:i/>
          <w:kern w:val="32"/>
          <w:szCs w:val="32"/>
        </w:rPr>
        <w:t> </w:t>
      </w:r>
      <w:r w:rsidR="002C4F65" w:rsidRPr="00555E72">
        <w:t>The appropriate components of the Utility’s rate base include utility plant in</w:t>
      </w:r>
      <w:r w:rsidR="002C4F65" w:rsidRPr="00555E72">
        <w:rPr>
          <w:rFonts w:ascii="Arial" w:hAnsi="Arial" w:cs="Arial"/>
          <w:b/>
          <w:bCs/>
          <w:i/>
          <w:iCs/>
          <w:szCs w:val="28"/>
        </w:rPr>
        <w:t xml:space="preserve"> </w:t>
      </w:r>
      <w:r w:rsidR="002C4F65" w:rsidRPr="00555E72">
        <w:t>service (UPIS), land and land rights, accumulated depreciation (AD), capital recovery, accumulated</w:t>
      </w:r>
      <w:r w:rsidR="002C4F65" w:rsidRPr="00555E72">
        <w:rPr>
          <w:rFonts w:ascii="Arial" w:hAnsi="Arial" w:cs="Arial"/>
          <w:b/>
          <w:bCs/>
          <w:i/>
          <w:iCs/>
          <w:szCs w:val="28"/>
        </w:rPr>
        <w:t xml:space="preserve"> </w:t>
      </w:r>
      <w:r w:rsidR="002C4F65" w:rsidRPr="00555E72">
        <w:t>amortization of capital recovery</w:t>
      </w:r>
      <w:r w:rsidR="00E54532">
        <w:t>, contributions-in-aid-of-construction (CIAC)</w:t>
      </w:r>
      <w:r w:rsidR="002C4F65" w:rsidRPr="00555E72">
        <w:t xml:space="preserve">, </w:t>
      </w:r>
      <w:r w:rsidR="00E54532">
        <w:t xml:space="preserve">accumulated amortization of CIAC (AA of CIAC), </w:t>
      </w:r>
      <w:r w:rsidR="002C4F65" w:rsidRPr="00555E72">
        <w:t>and working capital. Staff selected the test year ended December 31, 2024, for this rate case. A summary of each component and the recommended adjustments are</w:t>
      </w:r>
      <w:r w:rsidR="002C4F65" w:rsidRPr="00555E72">
        <w:rPr>
          <w:rFonts w:ascii="Arial" w:hAnsi="Arial" w:cs="Arial"/>
          <w:b/>
          <w:bCs/>
          <w:i/>
          <w:iCs/>
          <w:szCs w:val="28"/>
        </w:rPr>
        <w:t xml:space="preserve"> </w:t>
      </w:r>
      <w:r w:rsidR="002C4F65" w:rsidRPr="00555E72">
        <w:t>discussed below.</w:t>
      </w:r>
    </w:p>
    <w:p w14:paraId="09A1819A" w14:textId="77777777" w:rsidR="002C4F65" w:rsidRDefault="002C4F65" w:rsidP="002C4F65">
      <w:pPr>
        <w:pStyle w:val="First-LevelSubheading"/>
      </w:pPr>
      <w:r>
        <w:t>Pro Forma Plant Additions</w:t>
      </w:r>
    </w:p>
    <w:p w14:paraId="13F5AB05" w14:textId="2C9C4721" w:rsidR="002C4F65" w:rsidRDefault="002C4F65" w:rsidP="002C4F65">
      <w:pPr>
        <w:pStyle w:val="BodyText"/>
      </w:pPr>
      <w:r>
        <w:t xml:space="preserve">When evaluating a utility’s request for pro forma plant additions, </w:t>
      </w:r>
      <w:r w:rsidR="0018358D">
        <w:t>staff requests the Utility provide</w:t>
      </w:r>
      <w:r>
        <w:t>, among other things</w:t>
      </w:r>
      <w:r w:rsidR="0018358D">
        <w:t xml:space="preserve"> the</w:t>
      </w:r>
      <w:r>
        <w:t xml:space="preserve">: (i) need; (ii) reasonableness; (iii) cost; (iv) in-service date(s); and (v) alternatives, as they relate to each project. Additionally, it is Commission practice for staff to evaluate whether a minimum of three bids were solicited for each project or the Utility’s reasoning as to why three could not be obtained. Table 4-1 shows six pro forma plant projects </w:t>
      </w:r>
      <w:r w:rsidR="0018358D">
        <w:t>all of which t</w:t>
      </w:r>
      <w:r>
        <w:t>he Utility classified as emergencies, and therefore did not seek bids</w:t>
      </w:r>
      <w:r w:rsidR="0018358D">
        <w:t>.</w:t>
      </w:r>
      <w:r>
        <w:t xml:space="preserve"> Each of the Utility’s requested pro forma projects are described below.</w:t>
      </w:r>
    </w:p>
    <w:p w14:paraId="52AE8986" w14:textId="0C33F504" w:rsidR="002C4F65" w:rsidRDefault="002C4F65" w:rsidP="002C4F65">
      <w:pPr>
        <w:pStyle w:val="TableNumber"/>
        <w:keepNext/>
      </w:pPr>
      <w:r>
        <w:t>Table 4-1</w:t>
      </w:r>
    </w:p>
    <w:p w14:paraId="0CDEC80D" w14:textId="77777777" w:rsidR="002C4F65" w:rsidRDefault="002C4F65" w:rsidP="002C4F65">
      <w:pPr>
        <w:pStyle w:val="TableTitle"/>
        <w:keepNext/>
      </w:pPr>
      <w:r>
        <w:t>Pro Forma Projects</w:t>
      </w:r>
    </w:p>
    <w:tbl>
      <w:tblPr>
        <w:tblStyle w:val="TableGrid"/>
        <w:tblW w:w="0" w:type="auto"/>
        <w:tblLook w:val="04A0" w:firstRow="1" w:lastRow="0" w:firstColumn="1" w:lastColumn="0" w:noHBand="0" w:noVBand="1"/>
      </w:tblPr>
      <w:tblGrid>
        <w:gridCol w:w="396"/>
        <w:gridCol w:w="4146"/>
        <w:gridCol w:w="1326"/>
        <w:gridCol w:w="1097"/>
        <w:gridCol w:w="1247"/>
        <w:gridCol w:w="1364"/>
      </w:tblGrid>
      <w:tr w:rsidR="002C4F65" w14:paraId="0E806766" w14:textId="77777777" w:rsidTr="003C7931">
        <w:trPr>
          <w:trHeight w:val="629"/>
        </w:trPr>
        <w:tc>
          <w:tcPr>
            <w:tcW w:w="396" w:type="dxa"/>
          </w:tcPr>
          <w:p w14:paraId="59AD638D" w14:textId="77777777" w:rsidR="002C4F65" w:rsidRDefault="002C4F65" w:rsidP="003C7931"/>
        </w:tc>
        <w:tc>
          <w:tcPr>
            <w:tcW w:w="4146" w:type="dxa"/>
            <w:vAlign w:val="center"/>
          </w:tcPr>
          <w:p w14:paraId="6BD10757" w14:textId="77777777" w:rsidR="002C4F65" w:rsidRDefault="002C4F65" w:rsidP="003C7931">
            <w:pPr>
              <w:jc w:val="center"/>
            </w:pPr>
            <w:r>
              <w:t>Project</w:t>
            </w:r>
          </w:p>
        </w:tc>
        <w:tc>
          <w:tcPr>
            <w:tcW w:w="1326" w:type="dxa"/>
            <w:vAlign w:val="center"/>
          </w:tcPr>
          <w:p w14:paraId="4D137CC1" w14:textId="77777777" w:rsidR="002C4F65" w:rsidRDefault="002C4F65" w:rsidP="003C7931">
            <w:pPr>
              <w:jc w:val="center"/>
            </w:pPr>
            <w:r>
              <w:t>In-Service Date</w:t>
            </w:r>
          </w:p>
        </w:tc>
        <w:tc>
          <w:tcPr>
            <w:tcW w:w="1097" w:type="dxa"/>
            <w:vAlign w:val="center"/>
          </w:tcPr>
          <w:p w14:paraId="7FA5E488" w14:textId="77777777" w:rsidR="002C4F65" w:rsidRDefault="002C4F65" w:rsidP="003C7931">
            <w:pPr>
              <w:jc w:val="center"/>
            </w:pPr>
            <w:r>
              <w:t>Account Number</w:t>
            </w:r>
          </w:p>
        </w:tc>
        <w:tc>
          <w:tcPr>
            <w:tcW w:w="1247" w:type="dxa"/>
            <w:vAlign w:val="center"/>
          </w:tcPr>
          <w:p w14:paraId="1A3D2F3E" w14:textId="77777777" w:rsidR="002C4F65" w:rsidRDefault="002C4F65" w:rsidP="003C7931">
            <w:pPr>
              <w:jc w:val="center"/>
            </w:pPr>
            <w:r>
              <w:t>Amount</w:t>
            </w:r>
          </w:p>
        </w:tc>
        <w:tc>
          <w:tcPr>
            <w:tcW w:w="1364" w:type="dxa"/>
            <w:vAlign w:val="center"/>
          </w:tcPr>
          <w:p w14:paraId="384A1E7D" w14:textId="77777777" w:rsidR="002C4F65" w:rsidRDefault="002C4F65" w:rsidP="003C7931">
            <w:pPr>
              <w:jc w:val="center"/>
            </w:pPr>
            <w:r>
              <w:t>Retirement</w:t>
            </w:r>
          </w:p>
        </w:tc>
      </w:tr>
      <w:tr w:rsidR="002C4F65" w14:paraId="5D490908" w14:textId="77777777" w:rsidTr="00545D49">
        <w:tc>
          <w:tcPr>
            <w:tcW w:w="396" w:type="dxa"/>
          </w:tcPr>
          <w:p w14:paraId="6F0B5A31" w14:textId="77777777" w:rsidR="002C4F65" w:rsidRDefault="002C4F65" w:rsidP="003C7931">
            <w:r>
              <w:t>1.</w:t>
            </w:r>
          </w:p>
        </w:tc>
        <w:tc>
          <w:tcPr>
            <w:tcW w:w="4146" w:type="dxa"/>
          </w:tcPr>
          <w:p w14:paraId="218FF51A" w14:textId="77777777" w:rsidR="002C4F65" w:rsidRDefault="002C4F65" w:rsidP="003C7931">
            <w:r>
              <w:t>Auto Transfer Switch at WTP Generator</w:t>
            </w:r>
          </w:p>
        </w:tc>
        <w:tc>
          <w:tcPr>
            <w:tcW w:w="1326" w:type="dxa"/>
            <w:vAlign w:val="bottom"/>
          </w:tcPr>
          <w:p w14:paraId="2ABA9E1E" w14:textId="77777777" w:rsidR="002C4F65" w:rsidRDefault="002C4F65" w:rsidP="00545D49">
            <w:pPr>
              <w:jc w:val="right"/>
            </w:pPr>
            <w:r>
              <w:t>4/2025</w:t>
            </w:r>
          </w:p>
        </w:tc>
        <w:tc>
          <w:tcPr>
            <w:tcW w:w="1097" w:type="dxa"/>
            <w:vAlign w:val="bottom"/>
          </w:tcPr>
          <w:p w14:paraId="5450BD2A" w14:textId="77777777" w:rsidR="002C4F65" w:rsidRDefault="002C4F65" w:rsidP="00545D49">
            <w:pPr>
              <w:jc w:val="right"/>
            </w:pPr>
            <w:r>
              <w:t>320</w:t>
            </w:r>
          </w:p>
        </w:tc>
        <w:tc>
          <w:tcPr>
            <w:tcW w:w="1247" w:type="dxa"/>
            <w:vAlign w:val="bottom"/>
          </w:tcPr>
          <w:p w14:paraId="3875CD0C" w14:textId="77777777" w:rsidR="002C4F65" w:rsidRDefault="002C4F65" w:rsidP="00545D49">
            <w:pPr>
              <w:jc w:val="right"/>
            </w:pPr>
            <w:r>
              <w:t>$2,000</w:t>
            </w:r>
          </w:p>
        </w:tc>
        <w:tc>
          <w:tcPr>
            <w:tcW w:w="1364" w:type="dxa"/>
            <w:vAlign w:val="bottom"/>
          </w:tcPr>
          <w:p w14:paraId="1A482891" w14:textId="77777777" w:rsidR="002C4F65" w:rsidRDefault="002C4F65" w:rsidP="00545D49">
            <w:pPr>
              <w:jc w:val="right"/>
            </w:pPr>
            <w:r>
              <w:t>$1,500</w:t>
            </w:r>
          </w:p>
        </w:tc>
      </w:tr>
      <w:tr w:rsidR="002C4F65" w14:paraId="3AD0A03A" w14:textId="77777777" w:rsidTr="00545D49">
        <w:trPr>
          <w:trHeight w:val="584"/>
        </w:trPr>
        <w:tc>
          <w:tcPr>
            <w:tcW w:w="396" w:type="dxa"/>
          </w:tcPr>
          <w:p w14:paraId="55EC6740" w14:textId="77777777" w:rsidR="002C4F65" w:rsidRDefault="002C4F65" w:rsidP="003C7931">
            <w:r>
              <w:t>2.</w:t>
            </w:r>
          </w:p>
        </w:tc>
        <w:tc>
          <w:tcPr>
            <w:tcW w:w="4146" w:type="dxa"/>
          </w:tcPr>
          <w:p w14:paraId="6941D8F1" w14:textId="77777777" w:rsidR="002C4F65" w:rsidRDefault="002C4F65" w:rsidP="003C7931">
            <w:r>
              <w:t>New LAN Gateway System for Electronic Water Reads</w:t>
            </w:r>
          </w:p>
        </w:tc>
        <w:tc>
          <w:tcPr>
            <w:tcW w:w="1326" w:type="dxa"/>
            <w:vAlign w:val="bottom"/>
          </w:tcPr>
          <w:p w14:paraId="1E2C7576" w14:textId="77777777" w:rsidR="002C4F65" w:rsidRDefault="002C4F65" w:rsidP="00545D49">
            <w:pPr>
              <w:jc w:val="right"/>
            </w:pPr>
            <w:r>
              <w:t>10/2025</w:t>
            </w:r>
          </w:p>
        </w:tc>
        <w:tc>
          <w:tcPr>
            <w:tcW w:w="1097" w:type="dxa"/>
            <w:vAlign w:val="bottom"/>
          </w:tcPr>
          <w:p w14:paraId="2AA2F687" w14:textId="77777777" w:rsidR="002C4F65" w:rsidRDefault="002C4F65" w:rsidP="00545D49">
            <w:pPr>
              <w:jc w:val="right"/>
            </w:pPr>
            <w:r>
              <w:t>346</w:t>
            </w:r>
          </w:p>
        </w:tc>
        <w:tc>
          <w:tcPr>
            <w:tcW w:w="1247" w:type="dxa"/>
            <w:vAlign w:val="bottom"/>
          </w:tcPr>
          <w:p w14:paraId="48D85788" w14:textId="77777777" w:rsidR="002C4F65" w:rsidRDefault="002C4F65" w:rsidP="00545D49">
            <w:pPr>
              <w:jc w:val="right"/>
            </w:pPr>
            <w:r>
              <w:t>4,463</w:t>
            </w:r>
          </w:p>
        </w:tc>
        <w:tc>
          <w:tcPr>
            <w:tcW w:w="1364" w:type="dxa"/>
            <w:vAlign w:val="bottom"/>
          </w:tcPr>
          <w:p w14:paraId="2EA2E8FB" w14:textId="77777777" w:rsidR="002C4F65" w:rsidRDefault="002C4F65" w:rsidP="00545D49">
            <w:pPr>
              <w:jc w:val="right"/>
            </w:pPr>
            <w:r>
              <w:t>3,347</w:t>
            </w:r>
          </w:p>
        </w:tc>
      </w:tr>
      <w:tr w:rsidR="002C4F65" w14:paraId="78A975E4" w14:textId="77777777" w:rsidTr="00545D49">
        <w:trPr>
          <w:trHeight w:val="359"/>
        </w:trPr>
        <w:tc>
          <w:tcPr>
            <w:tcW w:w="396" w:type="dxa"/>
          </w:tcPr>
          <w:p w14:paraId="709FB000" w14:textId="77777777" w:rsidR="002C4F65" w:rsidRDefault="002C4F65" w:rsidP="003C7931">
            <w:r>
              <w:t>3.</w:t>
            </w:r>
          </w:p>
        </w:tc>
        <w:tc>
          <w:tcPr>
            <w:tcW w:w="4146" w:type="dxa"/>
          </w:tcPr>
          <w:p w14:paraId="392FF586" w14:textId="77777777" w:rsidR="002C4F65" w:rsidRDefault="002C4F65" w:rsidP="003C7931">
            <w:r>
              <w:t>Water Line Break at J31</w:t>
            </w:r>
          </w:p>
        </w:tc>
        <w:tc>
          <w:tcPr>
            <w:tcW w:w="1326" w:type="dxa"/>
            <w:vAlign w:val="bottom"/>
          </w:tcPr>
          <w:p w14:paraId="7FEAE387" w14:textId="77777777" w:rsidR="002C4F65" w:rsidRDefault="002C4F65" w:rsidP="00545D49">
            <w:pPr>
              <w:jc w:val="right"/>
            </w:pPr>
            <w:r>
              <w:t>2/2025</w:t>
            </w:r>
          </w:p>
        </w:tc>
        <w:tc>
          <w:tcPr>
            <w:tcW w:w="1097" w:type="dxa"/>
            <w:vAlign w:val="bottom"/>
          </w:tcPr>
          <w:p w14:paraId="7127A7AD" w14:textId="77777777" w:rsidR="002C4F65" w:rsidRDefault="002C4F65" w:rsidP="00545D49">
            <w:pPr>
              <w:jc w:val="right"/>
            </w:pPr>
            <w:r>
              <w:t>331</w:t>
            </w:r>
          </w:p>
        </w:tc>
        <w:tc>
          <w:tcPr>
            <w:tcW w:w="1247" w:type="dxa"/>
            <w:vAlign w:val="bottom"/>
          </w:tcPr>
          <w:p w14:paraId="19589EF2" w14:textId="77777777" w:rsidR="002C4F65" w:rsidRDefault="002C4F65" w:rsidP="00545D49">
            <w:pPr>
              <w:jc w:val="right"/>
            </w:pPr>
            <w:r>
              <w:t>6,936</w:t>
            </w:r>
          </w:p>
        </w:tc>
        <w:tc>
          <w:tcPr>
            <w:tcW w:w="1364" w:type="dxa"/>
            <w:vAlign w:val="bottom"/>
          </w:tcPr>
          <w:p w14:paraId="77D67092" w14:textId="77777777" w:rsidR="002C4F65" w:rsidRDefault="002C4F65" w:rsidP="00545D49">
            <w:pPr>
              <w:jc w:val="right"/>
            </w:pPr>
            <w:r>
              <w:t>5,202</w:t>
            </w:r>
          </w:p>
        </w:tc>
      </w:tr>
      <w:tr w:rsidR="002C4F65" w14:paraId="482AB989" w14:textId="77777777" w:rsidTr="00545D49">
        <w:trPr>
          <w:trHeight w:val="341"/>
        </w:trPr>
        <w:tc>
          <w:tcPr>
            <w:tcW w:w="396" w:type="dxa"/>
          </w:tcPr>
          <w:p w14:paraId="181C988D" w14:textId="77777777" w:rsidR="002C4F65" w:rsidRDefault="002C4F65" w:rsidP="003C7931">
            <w:r>
              <w:t>4.</w:t>
            </w:r>
          </w:p>
        </w:tc>
        <w:tc>
          <w:tcPr>
            <w:tcW w:w="4146" w:type="dxa"/>
          </w:tcPr>
          <w:p w14:paraId="1C152248" w14:textId="3518317F" w:rsidR="002C4F65" w:rsidRDefault="002C4F65" w:rsidP="003C7931">
            <w:r>
              <w:t>Water Line Break</w:t>
            </w:r>
            <w:r w:rsidR="00691A89">
              <w:t xml:space="preserve"> </w:t>
            </w:r>
            <w:r>
              <w:t>0U14</w:t>
            </w:r>
          </w:p>
        </w:tc>
        <w:tc>
          <w:tcPr>
            <w:tcW w:w="1326" w:type="dxa"/>
            <w:vAlign w:val="bottom"/>
          </w:tcPr>
          <w:p w14:paraId="71D0DB73" w14:textId="77777777" w:rsidR="002C4F65" w:rsidRDefault="002C4F65" w:rsidP="00545D49">
            <w:pPr>
              <w:jc w:val="right"/>
            </w:pPr>
            <w:r>
              <w:t>7/2025</w:t>
            </w:r>
          </w:p>
        </w:tc>
        <w:tc>
          <w:tcPr>
            <w:tcW w:w="1097" w:type="dxa"/>
            <w:vAlign w:val="bottom"/>
          </w:tcPr>
          <w:p w14:paraId="747FCCED" w14:textId="77777777" w:rsidR="002C4F65" w:rsidRDefault="002C4F65" w:rsidP="00545D49">
            <w:pPr>
              <w:jc w:val="right"/>
            </w:pPr>
            <w:r>
              <w:t>331</w:t>
            </w:r>
          </w:p>
        </w:tc>
        <w:tc>
          <w:tcPr>
            <w:tcW w:w="1247" w:type="dxa"/>
            <w:vAlign w:val="bottom"/>
          </w:tcPr>
          <w:p w14:paraId="65E58D91" w14:textId="77777777" w:rsidR="002C4F65" w:rsidRDefault="002C4F65" w:rsidP="00545D49">
            <w:pPr>
              <w:jc w:val="right"/>
            </w:pPr>
            <w:r>
              <w:t>5,890</w:t>
            </w:r>
          </w:p>
        </w:tc>
        <w:tc>
          <w:tcPr>
            <w:tcW w:w="1364" w:type="dxa"/>
            <w:vAlign w:val="bottom"/>
          </w:tcPr>
          <w:p w14:paraId="3274DC0D" w14:textId="77777777" w:rsidR="002C4F65" w:rsidRDefault="002C4F65" w:rsidP="00545D49">
            <w:pPr>
              <w:jc w:val="right"/>
            </w:pPr>
            <w:r>
              <w:t>4,418</w:t>
            </w:r>
          </w:p>
        </w:tc>
      </w:tr>
      <w:tr w:rsidR="002C4F65" w14:paraId="1C346918" w14:textId="77777777" w:rsidTr="00545D49">
        <w:trPr>
          <w:trHeight w:val="359"/>
        </w:trPr>
        <w:tc>
          <w:tcPr>
            <w:tcW w:w="396" w:type="dxa"/>
          </w:tcPr>
          <w:p w14:paraId="2A1C9C4E" w14:textId="77777777" w:rsidR="002C4F65" w:rsidRDefault="002C4F65" w:rsidP="003C7931">
            <w:r>
              <w:t>5.</w:t>
            </w:r>
          </w:p>
        </w:tc>
        <w:tc>
          <w:tcPr>
            <w:tcW w:w="4146" w:type="dxa"/>
          </w:tcPr>
          <w:p w14:paraId="26A52684" w14:textId="6DDDA860" w:rsidR="002C4F65" w:rsidRDefault="002C4F65" w:rsidP="003C7931">
            <w:r>
              <w:t>Water Line Replacement</w:t>
            </w:r>
            <w:r w:rsidR="00B05987">
              <w:t xml:space="preserve"> </w:t>
            </w:r>
            <w:r>
              <w:t>0U02</w:t>
            </w:r>
          </w:p>
        </w:tc>
        <w:tc>
          <w:tcPr>
            <w:tcW w:w="1326" w:type="dxa"/>
            <w:vAlign w:val="bottom"/>
          </w:tcPr>
          <w:p w14:paraId="28C3690D" w14:textId="77777777" w:rsidR="002C4F65" w:rsidRDefault="002C4F65" w:rsidP="00545D49">
            <w:pPr>
              <w:jc w:val="right"/>
            </w:pPr>
            <w:r>
              <w:t>7/2025</w:t>
            </w:r>
          </w:p>
        </w:tc>
        <w:tc>
          <w:tcPr>
            <w:tcW w:w="1097" w:type="dxa"/>
            <w:vAlign w:val="bottom"/>
          </w:tcPr>
          <w:p w14:paraId="6BA1DC0E" w14:textId="77777777" w:rsidR="002C4F65" w:rsidRDefault="002C4F65" w:rsidP="00545D49">
            <w:pPr>
              <w:jc w:val="right"/>
            </w:pPr>
            <w:r>
              <w:t>331</w:t>
            </w:r>
          </w:p>
        </w:tc>
        <w:tc>
          <w:tcPr>
            <w:tcW w:w="1247" w:type="dxa"/>
            <w:vAlign w:val="bottom"/>
          </w:tcPr>
          <w:p w14:paraId="3B83F81A" w14:textId="77777777" w:rsidR="002C4F65" w:rsidRDefault="002C4F65" w:rsidP="00545D49">
            <w:pPr>
              <w:jc w:val="right"/>
            </w:pPr>
            <w:r>
              <w:t>1,632</w:t>
            </w:r>
          </w:p>
        </w:tc>
        <w:tc>
          <w:tcPr>
            <w:tcW w:w="1364" w:type="dxa"/>
            <w:vAlign w:val="bottom"/>
          </w:tcPr>
          <w:p w14:paraId="50D1D064" w14:textId="77777777" w:rsidR="002C4F65" w:rsidRDefault="002C4F65" w:rsidP="00545D49">
            <w:pPr>
              <w:jc w:val="right"/>
            </w:pPr>
            <w:r>
              <w:t>1,224</w:t>
            </w:r>
          </w:p>
        </w:tc>
      </w:tr>
      <w:tr w:rsidR="002C4F65" w14:paraId="3DA72BEF" w14:textId="77777777" w:rsidTr="00545D49">
        <w:trPr>
          <w:trHeight w:val="341"/>
        </w:trPr>
        <w:tc>
          <w:tcPr>
            <w:tcW w:w="396" w:type="dxa"/>
          </w:tcPr>
          <w:p w14:paraId="21B06C40" w14:textId="77777777" w:rsidR="002C4F65" w:rsidRDefault="002C4F65" w:rsidP="003C7931">
            <w:r>
              <w:t>6.</w:t>
            </w:r>
          </w:p>
        </w:tc>
        <w:tc>
          <w:tcPr>
            <w:tcW w:w="4146" w:type="dxa"/>
          </w:tcPr>
          <w:p w14:paraId="0835A560" w14:textId="77777777" w:rsidR="002C4F65" w:rsidRDefault="002C4F65" w:rsidP="003C7931">
            <w:r>
              <w:t>Water Main Break</w:t>
            </w:r>
          </w:p>
        </w:tc>
        <w:tc>
          <w:tcPr>
            <w:tcW w:w="1326" w:type="dxa"/>
            <w:vAlign w:val="bottom"/>
          </w:tcPr>
          <w:p w14:paraId="0D160A5A" w14:textId="77777777" w:rsidR="002C4F65" w:rsidRDefault="002C4F65" w:rsidP="00545D49">
            <w:pPr>
              <w:jc w:val="right"/>
            </w:pPr>
            <w:r>
              <w:t>7/2025</w:t>
            </w:r>
          </w:p>
        </w:tc>
        <w:tc>
          <w:tcPr>
            <w:tcW w:w="1097" w:type="dxa"/>
            <w:vAlign w:val="bottom"/>
          </w:tcPr>
          <w:p w14:paraId="2197D432" w14:textId="77777777" w:rsidR="002C4F65" w:rsidRDefault="002C4F65" w:rsidP="00545D49">
            <w:pPr>
              <w:jc w:val="right"/>
            </w:pPr>
            <w:r>
              <w:t>331</w:t>
            </w:r>
          </w:p>
        </w:tc>
        <w:tc>
          <w:tcPr>
            <w:tcW w:w="1247" w:type="dxa"/>
            <w:vAlign w:val="bottom"/>
          </w:tcPr>
          <w:p w14:paraId="58B4502A" w14:textId="77777777" w:rsidR="002C4F65" w:rsidRPr="00F31B91" w:rsidRDefault="002C4F65" w:rsidP="00545D49">
            <w:pPr>
              <w:jc w:val="right"/>
              <w:rPr>
                <w:u w:val="single"/>
              </w:rPr>
            </w:pPr>
            <w:r w:rsidRPr="00F31B91">
              <w:rPr>
                <w:u w:val="single"/>
              </w:rPr>
              <w:t>5,487</w:t>
            </w:r>
          </w:p>
        </w:tc>
        <w:tc>
          <w:tcPr>
            <w:tcW w:w="1364" w:type="dxa"/>
            <w:vAlign w:val="bottom"/>
          </w:tcPr>
          <w:p w14:paraId="18743879" w14:textId="77777777" w:rsidR="002C4F65" w:rsidRPr="00F31B91" w:rsidRDefault="002C4F65" w:rsidP="00545D49">
            <w:pPr>
              <w:jc w:val="right"/>
              <w:rPr>
                <w:u w:val="single"/>
              </w:rPr>
            </w:pPr>
            <w:r w:rsidRPr="00F31B91">
              <w:rPr>
                <w:u w:val="single"/>
              </w:rPr>
              <w:t>4,115</w:t>
            </w:r>
          </w:p>
        </w:tc>
      </w:tr>
      <w:tr w:rsidR="002C4F65" w14:paraId="20F2BD0E" w14:textId="77777777" w:rsidTr="00545D49">
        <w:trPr>
          <w:trHeight w:val="359"/>
        </w:trPr>
        <w:tc>
          <w:tcPr>
            <w:tcW w:w="396" w:type="dxa"/>
          </w:tcPr>
          <w:p w14:paraId="514D4F95" w14:textId="77777777" w:rsidR="002C4F65" w:rsidRDefault="002C4F65" w:rsidP="003C7931"/>
        </w:tc>
        <w:tc>
          <w:tcPr>
            <w:tcW w:w="4146" w:type="dxa"/>
          </w:tcPr>
          <w:p w14:paraId="1DF2E637" w14:textId="77777777" w:rsidR="002C4F65" w:rsidRDefault="002C4F65" w:rsidP="003C7931">
            <w:r>
              <w:t>Total</w:t>
            </w:r>
          </w:p>
        </w:tc>
        <w:tc>
          <w:tcPr>
            <w:tcW w:w="1326" w:type="dxa"/>
            <w:vAlign w:val="bottom"/>
          </w:tcPr>
          <w:p w14:paraId="0A7692B7" w14:textId="77777777" w:rsidR="002C4F65" w:rsidRDefault="002C4F65" w:rsidP="00545D49">
            <w:pPr>
              <w:jc w:val="right"/>
            </w:pPr>
          </w:p>
        </w:tc>
        <w:tc>
          <w:tcPr>
            <w:tcW w:w="1097" w:type="dxa"/>
            <w:vAlign w:val="bottom"/>
          </w:tcPr>
          <w:p w14:paraId="01E73BF1" w14:textId="77777777" w:rsidR="002C4F65" w:rsidRDefault="002C4F65" w:rsidP="00545D49">
            <w:pPr>
              <w:jc w:val="right"/>
            </w:pPr>
          </w:p>
        </w:tc>
        <w:tc>
          <w:tcPr>
            <w:tcW w:w="1247" w:type="dxa"/>
            <w:vAlign w:val="bottom"/>
          </w:tcPr>
          <w:p w14:paraId="1EF34EA4" w14:textId="77777777" w:rsidR="002C4F65" w:rsidRPr="00F31B91" w:rsidRDefault="002C4F65" w:rsidP="00545D49">
            <w:pPr>
              <w:jc w:val="right"/>
              <w:rPr>
                <w:u w:val="double"/>
              </w:rPr>
            </w:pPr>
            <w:r w:rsidRPr="00F31B91">
              <w:rPr>
                <w:u w:val="double"/>
              </w:rPr>
              <w:t>$26,408</w:t>
            </w:r>
          </w:p>
        </w:tc>
        <w:tc>
          <w:tcPr>
            <w:tcW w:w="1364" w:type="dxa"/>
            <w:vAlign w:val="bottom"/>
          </w:tcPr>
          <w:p w14:paraId="771CA4FF" w14:textId="77777777" w:rsidR="002C4F65" w:rsidRPr="00F31B91" w:rsidRDefault="002C4F65" w:rsidP="00545D49">
            <w:pPr>
              <w:jc w:val="right"/>
              <w:rPr>
                <w:u w:val="double"/>
              </w:rPr>
            </w:pPr>
            <w:r w:rsidRPr="00F31B91">
              <w:rPr>
                <w:u w:val="double"/>
              </w:rPr>
              <w:t>$19,806</w:t>
            </w:r>
          </w:p>
        </w:tc>
      </w:tr>
    </w:tbl>
    <w:p w14:paraId="3D8C472D" w14:textId="66ED89CD" w:rsidR="009B207D" w:rsidRPr="00D50796" w:rsidRDefault="002C4F65" w:rsidP="00D50796">
      <w:pPr>
        <w:pStyle w:val="TableSource"/>
        <w:rPr>
          <w:sz w:val="20"/>
          <w:szCs w:val="20"/>
        </w:rPr>
      </w:pPr>
      <w:r w:rsidRPr="00F31B91">
        <w:rPr>
          <w:sz w:val="20"/>
          <w:szCs w:val="20"/>
        </w:rPr>
        <w:t xml:space="preserve">Source: Sunlake’s </w:t>
      </w:r>
      <w:r>
        <w:rPr>
          <w:sz w:val="20"/>
          <w:szCs w:val="20"/>
        </w:rPr>
        <w:t xml:space="preserve">supplemental </w:t>
      </w:r>
      <w:r w:rsidRPr="00F31B91">
        <w:rPr>
          <w:sz w:val="20"/>
          <w:szCs w:val="20"/>
        </w:rPr>
        <w:t xml:space="preserve">response to staff’s </w:t>
      </w:r>
      <w:r>
        <w:rPr>
          <w:sz w:val="20"/>
          <w:szCs w:val="20"/>
        </w:rPr>
        <w:t xml:space="preserve">first </w:t>
      </w:r>
      <w:r w:rsidRPr="00F31B91">
        <w:rPr>
          <w:sz w:val="20"/>
          <w:szCs w:val="20"/>
        </w:rPr>
        <w:t>data request.</w:t>
      </w:r>
      <w:r>
        <w:rPr>
          <w:rStyle w:val="FootnoteReference"/>
          <w:sz w:val="20"/>
          <w:szCs w:val="20"/>
        </w:rPr>
        <w:footnoteReference w:id="12"/>
      </w:r>
    </w:p>
    <w:p w14:paraId="7C04EE61" w14:textId="77777777" w:rsidR="002C4F65" w:rsidRDefault="002C4F65" w:rsidP="002C4F65">
      <w:pPr>
        <w:pStyle w:val="Second-LevelSubheading"/>
        <w:rPr>
          <w:b w:val="0"/>
          <w:bCs w:val="0"/>
          <w:i w:val="0"/>
          <w:iCs w:val="0"/>
        </w:rPr>
      </w:pPr>
      <w:r>
        <w:t>Project No. 1 – Auto Transfer Switch at WTP Generator</w:t>
      </w:r>
    </w:p>
    <w:p w14:paraId="6439ED88" w14:textId="3ED410DB" w:rsidR="002C4F65" w:rsidRPr="00082D5D" w:rsidRDefault="002C4F65" w:rsidP="002C4F65">
      <w:pPr>
        <w:pStyle w:val="BodyText"/>
      </w:pPr>
      <w:r>
        <w:t xml:space="preserve">Project No. 1 is the replacement of the auto transfer switch for </w:t>
      </w:r>
      <w:r w:rsidR="00611C73">
        <w:t xml:space="preserve">the </w:t>
      </w:r>
      <w:r w:rsidR="00B05987">
        <w:t xml:space="preserve">backup </w:t>
      </w:r>
      <w:r>
        <w:t>generator</w:t>
      </w:r>
      <w:r w:rsidR="00900C03">
        <w:t xml:space="preserve"> power</w:t>
      </w:r>
      <w:r>
        <w:t>. The purpose of the transfer switch is for the water treatment plant to automatically switch to generator power in the event of power failure. Sunlake stated that the project was deemed an emergency because the existing auto transfer switch had failed. The Utility provided the invoice for the project, which totaled $2,000 and was completed April 2025. Rule 25-30.250, F.A.C., states that each utility must make all reasonable efforts to provide continuous service. Therefore, after reviewing the project, staff agrees that the project was an emergency and recommends the approval of $2,000 for the replacement of the auto transfer switch to provide generator power in the event of a power outage.</w:t>
      </w:r>
    </w:p>
    <w:p w14:paraId="1D5A62A2" w14:textId="77777777" w:rsidR="002C4F65" w:rsidRDefault="002C4F65" w:rsidP="002C4F65">
      <w:pPr>
        <w:pStyle w:val="Second-LevelSubheading"/>
      </w:pPr>
      <w:r>
        <w:t>Project No. 2 – New LAN Gateway System for Electronic Water Reads</w:t>
      </w:r>
    </w:p>
    <w:p w14:paraId="2F86ADBB" w14:textId="3D1C61D5" w:rsidR="002C4F65" w:rsidRPr="00C2206F" w:rsidRDefault="002C4F65" w:rsidP="002C4F65">
      <w:pPr>
        <w:pStyle w:val="BodyText"/>
      </w:pPr>
      <w:r>
        <w:t xml:space="preserve">Project No. 2 is the replacement of the local access network gateway. The gateway collects consumption data ensuring accurate billing for each customer. Sunlake stated that the project was deemed an emergency because the existing gateway was damaged by lightning. The Utility provided invoices from Speedread Technologies L.L.C. and Electrical Works Florida, totaling $4,463. The project was completed October 2025. Rule 25-30.335, F.A.C., states that the </w:t>
      </w:r>
      <w:r w:rsidR="001B7C73">
        <w:t>u</w:t>
      </w:r>
      <w:r>
        <w:t xml:space="preserve">tility is obligated to timely correct any problems within the </w:t>
      </w:r>
      <w:r w:rsidR="001B7C73">
        <w:t>u</w:t>
      </w:r>
      <w:r>
        <w:t xml:space="preserve">tility’s control causing the need to estimate bills. Therefore, staff agrees the project was an emergency and recommends approval of $4,463 for the replacement of the local access network gateway. </w:t>
      </w:r>
    </w:p>
    <w:p w14:paraId="5CC3A058" w14:textId="77777777" w:rsidR="002C4F65" w:rsidRDefault="002C4F65" w:rsidP="002C4F65">
      <w:pPr>
        <w:pStyle w:val="Second-LevelSubheading"/>
      </w:pPr>
      <w:r>
        <w:t>Project No. 3 – Water Line Break at J31</w:t>
      </w:r>
    </w:p>
    <w:p w14:paraId="57EB3FC3" w14:textId="04524F6C" w:rsidR="002C4F65" w:rsidRPr="00DA4E24" w:rsidRDefault="002C4F65" w:rsidP="002C4F65">
      <w:pPr>
        <w:pStyle w:val="BodyText"/>
      </w:pPr>
      <w:r>
        <w:t xml:space="preserve">Project No. 3 is the replacement of 10 feet of a 6” water main line feeding a fire hydrant. The replacement of the main water line serving a fire hydrant was required to be in compliance with regulations necessitating that the fire hydrant be operational. The </w:t>
      </w:r>
      <w:r w:rsidR="005B0EF2">
        <w:t>U</w:t>
      </w:r>
      <w:r>
        <w:t>tility provided an invoice for the replacement of 10 feet of 6” pipe and necessary fittings totaling $6,936, which was completed February 2025. Section 633.312, F.S., states that the maintenance of fire hydrants and fire protection systems as well as corrective actions on deficient systems is the responsibility of the owner of the system or hydrant. Staff agrees the project was an emergency and recommends approval of $6,936.</w:t>
      </w:r>
    </w:p>
    <w:p w14:paraId="76F9F5FA" w14:textId="14695116" w:rsidR="002C4F65" w:rsidRDefault="002C4F65" w:rsidP="002C4F65">
      <w:pPr>
        <w:pStyle w:val="Second-LevelSubheading"/>
      </w:pPr>
      <w:r>
        <w:t>Project No. 4 – Water Line Break</w:t>
      </w:r>
      <w:r w:rsidR="00B05987">
        <w:t xml:space="preserve"> </w:t>
      </w:r>
      <w:r>
        <w:t>0U14</w:t>
      </w:r>
    </w:p>
    <w:p w14:paraId="6E5E655D" w14:textId="19E76BE4" w:rsidR="002C4F65" w:rsidRPr="00E322FD" w:rsidRDefault="002C4F65" w:rsidP="002C4F65">
      <w:pPr>
        <w:pStyle w:val="BodyText"/>
      </w:pPr>
      <w:r>
        <w:t xml:space="preserve">Project No. 4 is the removal and replacement of 10 feet of a 6” water main line that had failed. The removal and replacement of the broken section of pipe was required to maintain water service. Sunlake provided an invoice for the repair of the water main totaling $5,890, which was completed July 2025. Rule 25-30.250, F.A.C. states should interruption in service occur, each </w:t>
      </w:r>
      <w:r w:rsidR="001B7C73">
        <w:t>u</w:t>
      </w:r>
      <w:r>
        <w:t>tility must restore service with the shortest delay. Therefore, staff agrees the project was an emergency and recommends approval of $5,890.</w:t>
      </w:r>
      <w:r w:rsidR="00B45108">
        <w:t xml:space="preserve"> </w:t>
      </w:r>
    </w:p>
    <w:p w14:paraId="36639034" w14:textId="4F632FF4" w:rsidR="002C4F65" w:rsidRDefault="002C4F65" w:rsidP="002C4F65">
      <w:pPr>
        <w:pStyle w:val="Second-LevelSubheading"/>
      </w:pPr>
      <w:r>
        <w:t>Project No. 5 – Water Line Replacement</w:t>
      </w:r>
      <w:r w:rsidR="00691A89">
        <w:t xml:space="preserve"> </w:t>
      </w:r>
      <w:r>
        <w:t>0U02</w:t>
      </w:r>
    </w:p>
    <w:p w14:paraId="07A5EFE5" w14:textId="48F00A97" w:rsidR="002C4F65" w:rsidRPr="00736603" w:rsidRDefault="002C4F65" w:rsidP="002C4F65">
      <w:pPr>
        <w:pStyle w:val="BodyText"/>
      </w:pPr>
      <w:r>
        <w:t xml:space="preserve">Project No. 5 is the removal and replacement of 10 feet of a 3/4” polyethylene line. The removal and replacement of the broken section of water line was required to maintain water service. Sunlake provided an invoice for the repair of the water line totaling $1,632, which was completed July 2025. Pursuant to </w:t>
      </w:r>
      <w:bookmarkStart w:id="27" w:name="_Hlk233103456"/>
      <w:r>
        <w:t>Rule 25-30.250, F.A.C., requiring the utility to restore service with the shortest delay, staff agrees the project was an emergency and recommends approval of $1,632.</w:t>
      </w:r>
    </w:p>
    <w:bookmarkEnd w:id="27"/>
    <w:p w14:paraId="53EC4503" w14:textId="77777777" w:rsidR="002C4F65" w:rsidRDefault="002C4F65" w:rsidP="002C4F65">
      <w:pPr>
        <w:pStyle w:val="Second-LevelSubheading"/>
      </w:pPr>
      <w:r>
        <w:t xml:space="preserve">Project No. 6 – Water Main Break </w:t>
      </w:r>
    </w:p>
    <w:p w14:paraId="37EE178E" w14:textId="7AC6CA8B" w:rsidR="002C4F65" w:rsidRPr="002C4F65" w:rsidRDefault="002C4F65" w:rsidP="002C4F65">
      <w:pPr>
        <w:pStyle w:val="BodyText"/>
      </w:pPr>
      <w:r>
        <w:t xml:space="preserve">Project No. 6 is the replacement of 10 feet of 1” polyethylene pipe and necessary fittings. The water line had a break underneath the road causing water to bubble underneath the asphalt and needed to be replaced. Sunlake provided an invoice for the removal and replacement of 10 feet of polyethylene pipe and asphalt patch totaling </w:t>
      </w:r>
      <w:bookmarkStart w:id="28" w:name="_Hlk233103465"/>
      <w:r>
        <w:t>$5,487</w:t>
      </w:r>
      <w:bookmarkEnd w:id="28"/>
      <w:r>
        <w:t xml:space="preserve">, which was completed July 2025. </w:t>
      </w:r>
      <w:r w:rsidRPr="00547619">
        <w:t>Rule 25-30.250, F.A.C., requir</w:t>
      </w:r>
      <w:r>
        <w:t>es</w:t>
      </w:r>
      <w:r w:rsidRPr="00547619">
        <w:t xml:space="preserve"> the utility to restore service with the shortest delay</w:t>
      </w:r>
      <w:r w:rsidR="00B05987">
        <w:t xml:space="preserve"> possible</w:t>
      </w:r>
      <w:r>
        <w:t xml:space="preserve">. Therefore, </w:t>
      </w:r>
      <w:r w:rsidRPr="00547619">
        <w:t>staff agrees the project was an emergency and recommends approval of $5,487.</w:t>
      </w:r>
    </w:p>
    <w:p w14:paraId="440A7143" w14:textId="77777777" w:rsidR="002C4F65" w:rsidRPr="00555E72" w:rsidRDefault="002C4F65" w:rsidP="002C4F65">
      <w:pPr>
        <w:jc w:val="both"/>
        <w:rPr>
          <w:rFonts w:ascii="Arial" w:hAnsi="Arial" w:cs="Arial"/>
          <w:b/>
        </w:rPr>
      </w:pPr>
      <w:r w:rsidRPr="00555E72">
        <w:rPr>
          <w:rFonts w:ascii="Arial" w:hAnsi="Arial" w:cs="Arial"/>
          <w:b/>
        </w:rPr>
        <w:t>Utility Plant in Service</w:t>
      </w:r>
    </w:p>
    <w:p w14:paraId="5FA7E68A" w14:textId="77777777" w:rsidR="002C4F65" w:rsidRPr="00555E72" w:rsidRDefault="002C4F65" w:rsidP="002C4F65">
      <w:pPr>
        <w:spacing w:after="240"/>
        <w:jc w:val="both"/>
        <w:outlineLvl w:val="0"/>
        <w:rPr>
          <w:bCs/>
          <w:kern w:val="32"/>
          <w:szCs w:val="32"/>
        </w:rPr>
      </w:pPr>
      <w:r w:rsidRPr="00555E72">
        <w:rPr>
          <w:bCs/>
          <w:kern w:val="32"/>
          <w:szCs w:val="32"/>
        </w:rPr>
        <w:t xml:space="preserve">The Utility recorded a UPIS balance of $942,813. </w:t>
      </w:r>
      <w:r>
        <w:rPr>
          <w:bCs/>
          <w:kern w:val="32"/>
          <w:szCs w:val="32"/>
        </w:rPr>
        <w:t>T</w:t>
      </w:r>
      <w:r w:rsidRPr="00555E72">
        <w:rPr>
          <w:bCs/>
          <w:kern w:val="32"/>
          <w:szCs w:val="32"/>
        </w:rPr>
        <w:t>he Utility did not maintain complete ledgers or property records for several years. Therefore, staff reconstructed UPIS using Commission Order No. PSC-2014-0018-PAA-WS, annual reports, and available invoices.</w:t>
      </w:r>
      <w:r w:rsidRPr="00555E72">
        <w:rPr>
          <w:bCs/>
          <w:kern w:val="32"/>
          <w:szCs w:val="32"/>
          <w:vertAlign w:val="superscript"/>
        </w:rPr>
        <w:footnoteReference w:id="13"/>
      </w:r>
    </w:p>
    <w:p w14:paraId="474415BF" w14:textId="77777777" w:rsidR="002C4F65" w:rsidRPr="00555E72" w:rsidRDefault="002C4F65" w:rsidP="002C4F65">
      <w:pPr>
        <w:spacing w:after="240"/>
        <w:jc w:val="both"/>
      </w:pPr>
      <w:r w:rsidRPr="00555E72">
        <w:t>Audit staff corrected misclassified additions, applied previously-ordered adjustments, and removed items that had been improperly booked or recorded in the wrong period. These adjustments increased UPIS by $97,415. Staff also increased UPIS by $64,868 to reflect an averaging adjustment.</w:t>
      </w:r>
    </w:p>
    <w:p w14:paraId="1A032385" w14:textId="092B1F6B" w:rsidR="002C4F65" w:rsidRPr="00555E72" w:rsidRDefault="002C4F65" w:rsidP="002C4F65">
      <w:pPr>
        <w:spacing w:after="240"/>
        <w:jc w:val="both"/>
      </w:pPr>
      <w:r w:rsidRPr="00555E72">
        <w:t>The Utility did not record retirements from December 31, 2012, through December 31, 2024. Thus, staff decreased UPIS by $227,469 to reflect the appropriate period retirements. Further</w:t>
      </w:r>
      <w:r>
        <w:t>,</w:t>
      </w:r>
      <w:r w:rsidRPr="00555E72">
        <w:t xml:space="preserve"> staff reclassified </w:t>
      </w:r>
      <w:r w:rsidR="0018358D">
        <w:t>operation and maintenance</w:t>
      </w:r>
      <w:r w:rsidR="0018358D" w:rsidRPr="00555E72">
        <w:t xml:space="preserve"> </w:t>
      </w:r>
      <w:r w:rsidR="0018358D">
        <w:t>(</w:t>
      </w:r>
      <w:r w:rsidRPr="00555E72">
        <w:t>O&amp;M</w:t>
      </w:r>
      <w:r w:rsidR="0018358D">
        <w:t>)</w:t>
      </w:r>
      <w:r w:rsidRPr="00555E72">
        <w:t xml:space="preserve"> expenses that were incorrectly recorded in UPIS. Lastly, staff decreased UPIS by $19,806 for pro forma retirements and increased it by $26,408 for pro forma additions.</w:t>
      </w:r>
    </w:p>
    <w:p w14:paraId="057664B6" w14:textId="77777777" w:rsidR="002C4F65" w:rsidRPr="00555E72" w:rsidRDefault="002C4F65" w:rsidP="002C4F65">
      <w:pPr>
        <w:spacing w:after="240"/>
        <w:jc w:val="both"/>
        <w:rPr>
          <w:b/>
          <w:i/>
        </w:rPr>
      </w:pPr>
      <w:r w:rsidRPr="00555E72">
        <w:t>Overall, staff’s adjustments result in a net decrease of $58,584. Therefore, staff recommends a UPIS balance of $884,229.</w:t>
      </w:r>
    </w:p>
    <w:p w14:paraId="2A0240DB" w14:textId="77777777" w:rsidR="002C4F65" w:rsidRPr="00555E72" w:rsidRDefault="002C4F65" w:rsidP="002C4F65">
      <w:pPr>
        <w:ind w:left="720"/>
        <w:jc w:val="both"/>
        <w:outlineLvl w:val="3"/>
        <w:rPr>
          <w:rFonts w:ascii="Arial" w:hAnsi="Arial" w:cs="Arial"/>
          <w:b/>
          <w:bCs/>
          <w:i/>
          <w:iCs/>
          <w:szCs w:val="28"/>
        </w:rPr>
      </w:pPr>
      <w:r w:rsidRPr="00555E72">
        <w:rPr>
          <w:rFonts w:ascii="Arial" w:hAnsi="Arial" w:cs="Arial"/>
          <w:b/>
          <w:bCs/>
          <w:i/>
          <w:iCs/>
          <w:szCs w:val="28"/>
        </w:rPr>
        <w:t>Capped Retirement</w:t>
      </w:r>
    </w:p>
    <w:p w14:paraId="337EE7E1" w14:textId="309A218D" w:rsidR="002C4F65" w:rsidRPr="00555E72" w:rsidRDefault="002C4F65" w:rsidP="009B207D">
      <w:pPr>
        <w:spacing w:after="240"/>
        <w:jc w:val="both"/>
      </w:pPr>
      <w:r w:rsidRPr="00555E72">
        <w:t xml:space="preserve">In general, it is Commission practice to use the 75 percent of plant addition methodology to estimate the retirement amount of assets being replaced when the original cost is unknown. In this case, for certain accounts, application of the 75 percent retirement methodology results in an overall negative plant balance. Therefore, staff has capped the retirement amounts at the plant balance for respective accounts in the relevant years. This methodology has been utilized in Docket No. 20160101-WS and was approved by Order No. </w:t>
      </w:r>
      <w:bookmarkStart w:id="29" w:name="_Hlk234390438"/>
      <w:r w:rsidRPr="00555E72">
        <w:t>PSC-</w:t>
      </w:r>
      <w:bookmarkEnd w:id="29"/>
      <w:r w:rsidRPr="00555E72">
        <w:t>2017-0361-FOF</w:t>
      </w:r>
      <w:r w:rsidR="00321857">
        <w:t>-WS</w:t>
      </w:r>
      <w:r w:rsidRPr="00555E72">
        <w:t>.</w:t>
      </w:r>
      <w:r w:rsidRPr="00555E72">
        <w:rPr>
          <w:vertAlign w:val="superscript"/>
        </w:rPr>
        <w:footnoteReference w:id="14"/>
      </w:r>
      <w:r w:rsidRPr="00555E72">
        <w:t xml:space="preserve"> In that order, the Commission found that: “the amount of retirement to plant in service and accumulated depreciation reflected in the adjusted test year shall be calculated based on either the 75 percent methodology . . . or on the actual balance in the impacted plant in service account . . . if that balance would be negative as a result of the 75 percent methodology.”</w:t>
      </w:r>
      <w:r w:rsidRPr="00555E72">
        <w:rPr>
          <w:vertAlign w:val="superscript"/>
        </w:rPr>
        <w:footnoteReference w:id="15"/>
      </w:r>
    </w:p>
    <w:p w14:paraId="26925FCF" w14:textId="56013792" w:rsidR="002C4F65" w:rsidRPr="00555E72" w:rsidRDefault="002C4F65" w:rsidP="002C4F65">
      <w:pPr>
        <w:spacing w:after="240"/>
        <w:jc w:val="both"/>
      </w:pPr>
      <w:r w:rsidRPr="00555E72">
        <w:t xml:space="preserve">Due to the capped retirement, two accounts have remaining undepreciated plant balances. Staff believes that these remaining balances should be recovered as amortization expense over a seven-year period. Although Rule 25-30.433(10), F.A.C., prescribes the formula for determining the appropriate amortization period for forced abandonment or the prudent retirement of plant assets prior to the end of their depreciable life, staff recommends an amortization period of seven years. Staff notes that an alternate amortization period is permitted under the </w:t>
      </w:r>
      <w:r w:rsidR="00FD5712">
        <w:t>r</w:t>
      </w:r>
      <w:r w:rsidRPr="00555E72">
        <w:t xml:space="preserve">ule. Staff’s recommendation is intended to spread the recovery of these costs over a longer period to mitigate the immediate annual rate impacts. Staff identified two accounts that have remaining undepreciated plant balances, as reflected in Table </w:t>
      </w:r>
      <w:r w:rsidR="00B45108">
        <w:t>4</w:t>
      </w:r>
      <w:r w:rsidRPr="00555E72">
        <w:t>-2 below.</w:t>
      </w:r>
    </w:p>
    <w:p w14:paraId="58723D19" w14:textId="3148AA39" w:rsidR="002C4F65" w:rsidRPr="00555E72" w:rsidRDefault="002C4F65" w:rsidP="002C4F65">
      <w:pPr>
        <w:spacing w:line="276" w:lineRule="auto"/>
        <w:jc w:val="center"/>
        <w:rPr>
          <w:rFonts w:ascii="Arial" w:eastAsiaTheme="minorHAnsi" w:hAnsi="Arial" w:cs="Arial"/>
          <w:b/>
        </w:rPr>
      </w:pPr>
      <w:r w:rsidRPr="00555E72">
        <w:rPr>
          <w:rFonts w:ascii="Arial" w:eastAsiaTheme="minorHAnsi" w:hAnsi="Arial" w:cs="Arial"/>
          <w:b/>
        </w:rPr>
        <w:t xml:space="preserve">Table </w:t>
      </w:r>
      <w:r w:rsidR="00B45108">
        <w:rPr>
          <w:rFonts w:ascii="Arial" w:eastAsiaTheme="minorHAnsi" w:hAnsi="Arial" w:cs="Arial"/>
          <w:b/>
        </w:rPr>
        <w:t>4</w:t>
      </w:r>
      <w:r w:rsidRPr="00555E72">
        <w:rPr>
          <w:rFonts w:ascii="Arial" w:eastAsiaTheme="minorHAnsi" w:hAnsi="Arial" w:cs="Arial"/>
          <w:b/>
        </w:rPr>
        <w:t>-2</w:t>
      </w:r>
    </w:p>
    <w:p w14:paraId="319ECB10" w14:textId="1EC06E6E" w:rsidR="002C4F65" w:rsidRPr="00555E72" w:rsidRDefault="002C4F65" w:rsidP="002C4F65">
      <w:pPr>
        <w:spacing w:line="276" w:lineRule="auto"/>
        <w:jc w:val="center"/>
        <w:rPr>
          <w:rFonts w:ascii="Arial" w:eastAsiaTheme="minorHAnsi" w:hAnsi="Arial" w:cs="Arial"/>
          <w:b/>
        </w:rPr>
      </w:pPr>
      <w:r w:rsidRPr="00555E72">
        <w:rPr>
          <w:rFonts w:ascii="Arial" w:eastAsiaTheme="minorHAnsi" w:hAnsi="Arial" w:cs="Arial"/>
          <w:b/>
        </w:rPr>
        <w:t xml:space="preserve">Water </w:t>
      </w:r>
      <w:r w:rsidR="00B05987">
        <w:rPr>
          <w:rFonts w:ascii="Arial" w:eastAsiaTheme="minorHAnsi" w:hAnsi="Arial" w:cs="Arial"/>
          <w:b/>
        </w:rPr>
        <w:t xml:space="preserve">System </w:t>
      </w:r>
      <w:r w:rsidRPr="00555E72">
        <w:rPr>
          <w:rFonts w:ascii="Arial" w:eastAsiaTheme="minorHAnsi" w:hAnsi="Arial" w:cs="Arial"/>
          <w:b/>
        </w:rPr>
        <w:t>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2C4F65" w:rsidRPr="00C50FBB" w14:paraId="79634B22" w14:textId="77777777" w:rsidTr="003C7931">
        <w:tc>
          <w:tcPr>
            <w:tcW w:w="1188" w:type="dxa"/>
            <w:vAlign w:val="center"/>
          </w:tcPr>
          <w:p w14:paraId="33E0FCA1"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center"/>
              <w:rPr>
                <w:rFonts w:ascii="Times New Roman" w:hAnsi="Times New Roman" w:cs="Times New Roman"/>
                <w:szCs w:val="22"/>
              </w:rPr>
            </w:pPr>
            <w:r w:rsidRPr="00C50FBB">
              <w:rPr>
                <w:rFonts w:ascii="Times New Roman" w:hAnsi="Times New Roman" w:cs="Times New Roman"/>
                <w:szCs w:val="22"/>
              </w:rPr>
              <w:t>Account</w:t>
            </w:r>
          </w:p>
        </w:tc>
        <w:tc>
          <w:tcPr>
            <w:tcW w:w="2642" w:type="dxa"/>
            <w:vAlign w:val="center"/>
          </w:tcPr>
          <w:p w14:paraId="594881D5"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center"/>
              <w:rPr>
                <w:rFonts w:ascii="Times New Roman" w:hAnsi="Times New Roman" w:cs="Times New Roman"/>
                <w:szCs w:val="22"/>
              </w:rPr>
            </w:pPr>
            <w:r w:rsidRPr="00C50FBB">
              <w:rPr>
                <w:rFonts w:ascii="Times New Roman" w:hAnsi="Times New Roman" w:cs="Times New Roman"/>
                <w:szCs w:val="22"/>
              </w:rPr>
              <w:t>Plant Balance</w:t>
            </w:r>
          </w:p>
        </w:tc>
        <w:tc>
          <w:tcPr>
            <w:tcW w:w="1915" w:type="dxa"/>
            <w:vAlign w:val="center"/>
          </w:tcPr>
          <w:p w14:paraId="4DA99DF2"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center"/>
              <w:rPr>
                <w:rFonts w:ascii="Times New Roman" w:hAnsi="Times New Roman" w:cs="Times New Roman"/>
                <w:szCs w:val="22"/>
              </w:rPr>
            </w:pPr>
            <w:r w:rsidRPr="00C50FBB">
              <w:rPr>
                <w:rFonts w:ascii="Times New Roman" w:hAnsi="Times New Roman" w:cs="Times New Roman"/>
                <w:szCs w:val="22"/>
              </w:rPr>
              <w:t>Accumulated Depreciation</w:t>
            </w:r>
          </w:p>
        </w:tc>
        <w:tc>
          <w:tcPr>
            <w:tcW w:w="2013" w:type="dxa"/>
            <w:vAlign w:val="center"/>
          </w:tcPr>
          <w:p w14:paraId="7F1D3762"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center"/>
              <w:rPr>
                <w:rFonts w:ascii="Times New Roman" w:hAnsi="Times New Roman" w:cs="Times New Roman"/>
                <w:szCs w:val="22"/>
              </w:rPr>
            </w:pPr>
            <w:r w:rsidRPr="00C50FBB">
              <w:rPr>
                <w:rFonts w:ascii="Times New Roman" w:hAnsi="Times New Roman" w:cs="Times New Roman"/>
                <w:szCs w:val="22"/>
              </w:rPr>
              <w:t>Undepreciated Plant Balance</w:t>
            </w:r>
          </w:p>
        </w:tc>
        <w:tc>
          <w:tcPr>
            <w:tcW w:w="1818" w:type="dxa"/>
            <w:vAlign w:val="center"/>
          </w:tcPr>
          <w:p w14:paraId="1EE2AF14"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center"/>
              <w:rPr>
                <w:rFonts w:ascii="Times New Roman" w:hAnsi="Times New Roman" w:cs="Times New Roman"/>
                <w:szCs w:val="22"/>
              </w:rPr>
            </w:pPr>
            <w:r w:rsidRPr="00C50FBB">
              <w:rPr>
                <w:rFonts w:ascii="Times New Roman" w:hAnsi="Times New Roman" w:cs="Times New Roman"/>
                <w:szCs w:val="22"/>
              </w:rPr>
              <w:t>Amortization Expense</w:t>
            </w:r>
          </w:p>
        </w:tc>
      </w:tr>
      <w:tr w:rsidR="002C4F65" w:rsidRPr="00C50FBB" w14:paraId="014941DE" w14:textId="77777777" w:rsidTr="003C7931">
        <w:tc>
          <w:tcPr>
            <w:tcW w:w="1188" w:type="dxa"/>
          </w:tcPr>
          <w:p w14:paraId="71465262"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both"/>
              <w:rPr>
                <w:rFonts w:ascii="Times New Roman" w:hAnsi="Times New Roman" w:cs="Times New Roman"/>
                <w:szCs w:val="22"/>
              </w:rPr>
            </w:pPr>
            <w:r w:rsidRPr="00C50FBB">
              <w:rPr>
                <w:rFonts w:ascii="Times New Roman" w:hAnsi="Times New Roman" w:cs="Times New Roman"/>
                <w:szCs w:val="22"/>
              </w:rPr>
              <w:t>309</w:t>
            </w:r>
          </w:p>
        </w:tc>
        <w:tc>
          <w:tcPr>
            <w:tcW w:w="2642" w:type="dxa"/>
          </w:tcPr>
          <w:p w14:paraId="31D35D55"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rPr>
            </w:pPr>
            <w:r w:rsidRPr="00C50FBB">
              <w:rPr>
                <w:rFonts w:ascii="Times New Roman" w:hAnsi="Times New Roman" w:cs="Times New Roman"/>
                <w:szCs w:val="22"/>
              </w:rPr>
              <w:t>$2,888</w:t>
            </w:r>
          </w:p>
        </w:tc>
        <w:tc>
          <w:tcPr>
            <w:tcW w:w="1915" w:type="dxa"/>
          </w:tcPr>
          <w:p w14:paraId="14B056BB"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rPr>
            </w:pPr>
            <w:r w:rsidRPr="00C50FBB">
              <w:rPr>
                <w:rFonts w:ascii="Times New Roman" w:hAnsi="Times New Roman" w:cs="Times New Roman"/>
                <w:szCs w:val="22"/>
              </w:rPr>
              <w:t>$89</w:t>
            </w:r>
          </w:p>
        </w:tc>
        <w:tc>
          <w:tcPr>
            <w:tcW w:w="2013" w:type="dxa"/>
          </w:tcPr>
          <w:p w14:paraId="4BFBF709"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rPr>
            </w:pPr>
            <w:r w:rsidRPr="00C50FBB">
              <w:rPr>
                <w:rFonts w:ascii="Times New Roman" w:hAnsi="Times New Roman" w:cs="Times New Roman"/>
                <w:szCs w:val="22"/>
              </w:rPr>
              <w:t>$2,799</w:t>
            </w:r>
          </w:p>
        </w:tc>
        <w:tc>
          <w:tcPr>
            <w:tcW w:w="1818" w:type="dxa"/>
          </w:tcPr>
          <w:p w14:paraId="1C40E977"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rPr>
            </w:pPr>
            <w:r w:rsidRPr="00C50FBB">
              <w:rPr>
                <w:rFonts w:ascii="Times New Roman" w:hAnsi="Times New Roman" w:cs="Times New Roman"/>
                <w:szCs w:val="22"/>
              </w:rPr>
              <w:t>$400</w:t>
            </w:r>
          </w:p>
        </w:tc>
      </w:tr>
      <w:tr w:rsidR="002C4F65" w:rsidRPr="00C50FBB" w14:paraId="0CDAB7B3" w14:textId="77777777" w:rsidTr="003C7931">
        <w:tc>
          <w:tcPr>
            <w:tcW w:w="1188" w:type="dxa"/>
          </w:tcPr>
          <w:p w14:paraId="727087A2"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both"/>
              <w:rPr>
                <w:rFonts w:ascii="Times New Roman" w:hAnsi="Times New Roman" w:cs="Times New Roman"/>
                <w:szCs w:val="22"/>
              </w:rPr>
            </w:pPr>
            <w:r w:rsidRPr="00C50FBB">
              <w:rPr>
                <w:rFonts w:ascii="Times New Roman" w:hAnsi="Times New Roman" w:cs="Times New Roman"/>
                <w:szCs w:val="22"/>
              </w:rPr>
              <w:t>334</w:t>
            </w:r>
          </w:p>
        </w:tc>
        <w:tc>
          <w:tcPr>
            <w:tcW w:w="2642" w:type="dxa"/>
          </w:tcPr>
          <w:p w14:paraId="62105593"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single"/>
              </w:rPr>
            </w:pPr>
            <w:r w:rsidRPr="00C50FBB">
              <w:rPr>
                <w:rFonts w:ascii="Times New Roman" w:hAnsi="Times New Roman" w:cs="Times New Roman"/>
                <w:szCs w:val="22"/>
                <w:u w:val="single"/>
              </w:rPr>
              <w:t>53,480</w:t>
            </w:r>
          </w:p>
        </w:tc>
        <w:tc>
          <w:tcPr>
            <w:tcW w:w="1915" w:type="dxa"/>
          </w:tcPr>
          <w:p w14:paraId="27AFDA38"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single"/>
              </w:rPr>
            </w:pPr>
            <w:r w:rsidRPr="00C50FBB">
              <w:rPr>
                <w:rFonts w:ascii="Times New Roman" w:hAnsi="Times New Roman" w:cs="Times New Roman"/>
                <w:szCs w:val="22"/>
                <w:u w:val="single"/>
              </w:rPr>
              <w:t>30,736</w:t>
            </w:r>
          </w:p>
        </w:tc>
        <w:tc>
          <w:tcPr>
            <w:tcW w:w="2013" w:type="dxa"/>
          </w:tcPr>
          <w:p w14:paraId="20536CD0"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single"/>
              </w:rPr>
            </w:pPr>
            <w:r w:rsidRPr="00C50FBB">
              <w:rPr>
                <w:rFonts w:ascii="Times New Roman" w:hAnsi="Times New Roman" w:cs="Times New Roman"/>
                <w:szCs w:val="22"/>
                <w:u w:val="single"/>
              </w:rPr>
              <w:t>22,744</w:t>
            </w:r>
          </w:p>
        </w:tc>
        <w:tc>
          <w:tcPr>
            <w:tcW w:w="1818" w:type="dxa"/>
          </w:tcPr>
          <w:p w14:paraId="3B823291"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single"/>
              </w:rPr>
            </w:pPr>
            <w:r w:rsidRPr="00C50FBB">
              <w:rPr>
                <w:rFonts w:ascii="Times New Roman" w:hAnsi="Times New Roman" w:cs="Times New Roman"/>
                <w:szCs w:val="22"/>
                <w:u w:val="single"/>
              </w:rPr>
              <w:t>3,249</w:t>
            </w:r>
          </w:p>
        </w:tc>
      </w:tr>
      <w:tr w:rsidR="002C4F65" w:rsidRPr="00C50FBB" w14:paraId="0074FEFA" w14:textId="77777777" w:rsidTr="003C7931">
        <w:tc>
          <w:tcPr>
            <w:tcW w:w="1188" w:type="dxa"/>
          </w:tcPr>
          <w:p w14:paraId="3DC60B65"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both"/>
              <w:rPr>
                <w:rFonts w:ascii="Times New Roman" w:hAnsi="Times New Roman" w:cs="Times New Roman"/>
                <w:szCs w:val="22"/>
              </w:rPr>
            </w:pPr>
            <w:r w:rsidRPr="00C50FBB">
              <w:rPr>
                <w:rFonts w:ascii="Times New Roman" w:hAnsi="Times New Roman" w:cs="Times New Roman"/>
                <w:szCs w:val="22"/>
              </w:rPr>
              <w:t>Total</w:t>
            </w:r>
          </w:p>
        </w:tc>
        <w:tc>
          <w:tcPr>
            <w:tcW w:w="2642" w:type="dxa"/>
          </w:tcPr>
          <w:p w14:paraId="71AFF276"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double"/>
              </w:rPr>
            </w:pPr>
            <w:r w:rsidRPr="00C50FBB">
              <w:rPr>
                <w:rFonts w:ascii="Times New Roman" w:hAnsi="Times New Roman" w:cs="Times New Roman"/>
                <w:szCs w:val="22"/>
                <w:u w:val="double"/>
              </w:rPr>
              <w:t>$56,368</w:t>
            </w:r>
          </w:p>
        </w:tc>
        <w:tc>
          <w:tcPr>
            <w:tcW w:w="1915" w:type="dxa"/>
          </w:tcPr>
          <w:p w14:paraId="05F591BB"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double"/>
              </w:rPr>
            </w:pPr>
            <w:r w:rsidRPr="00C50FBB">
              <w:rPr>
                <w:rFonts w:ascii="Times New Roman" w:hAnsi="Times New Roman" w:cs="Times New Roman"/>
                <w:szCs w:val="22"/>
                <w:u w:val="double"/>
              </w:rPr>
              <w:t>$30,825</w:t>
            </w:r>
          </w:p>
        </w:tc>
        <w:tc>
          <w:tcPr>
            <w:tcW w:w="2013" w:type="dxa"/>
          </w:tcPr>
          <w:p w14:paraId="38E465F6"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double"/>
              </w:rPr>
            </w:pPr>
            <w:r w:rsidRPr="00C50FBB">
              <w:rPr>
                <w:rFonts w:ascii="Times New Roman" w:hAnsi="Times New Roman" w:cs="Times New Roman"/>
                <w:szCs w:val="22"/>
                <w:u w:val="double"/>
              </w:rPr>
              <w:t>$25,543</w:t>
            </w:r>
          </w:p>
        </w:tc>
        <w:tc>
          <w:tcPr>
            <w:tcW w:w="1818" w:type="dxa"/>
          </w:tcPr>
          <w:p w14:paraId="2D285C98" w14:textId="77777777" w:rsidR="002C4F65" w:rsidRPr="00C50FBB" w:rsidRDefault="002C4F65" w:rsidP="003C7931">
            <w:pPr>
              <w:tabs>
                <w:tab w:val="left" w:pos="480"/>
                <w:tab w:val="left" w:pos="960"/>
                <w:tab w:val="left" w:pos="1440"/>
                <w:tab w:val="left" w:pos="1920"/>
                <w:tab w:val="left" w:pos="2400"/>
                <w:tab w:val="left" w:pos="2880"/>
                <w:tab w:val="left" w:pos="3360"/>
                <w:tab w:val="left" w:pos="3840"/>
                <w:tab w:val="left" w:pos="4320"/>
              </w:tabs>
              <w:jc w:val="right"/>
              <w:rPr>
                <w:rFonts w:ascii="Times New Roman" w:hAnsi="Times New Roman" w:cs="Times New Roman"/>
                <w:szCs w:val="22"/>
                <w:u w:val="double"/>
              </w:rPr>
            </w:pPr>
            <w:r w:rsidRPr="00C50FBB">
              <w:rPr>
                <w:rFonts w:ascii="Times New Roman" w:hAnsi="Times New Roman" w:cs="Times New Roman"/>
                <w:szCs w:val="22"/>
                <w:u w:val="double"/>
              </w:rPr>
              <w:t>$3,649</w:t>
            </w:r>
          </w:p>
        </w:tc>
      </w:tr>
    </w:tbl>
    <w:p w14:paraId="23666270" w14:textId="77777777" w:rsidR="002C4F65" w:rsidRPr="00555E72" w:rsidRDefault="002C4F65" w:rsidP="002C4F65">
      <w:pPr>
        <w:spacing w:after="200" w:line="276" w:lineRule="auto"/>
        <w:jc w:val="both"/>
        <w:rPr>
          <w:rFonts w:eastAsiaTheme="minorHAnsi" w:cstheme="minorBidi"/>
          <w:sz w:val="20"/>
          <w:szCs w:val="22"/>
        </w:rPr>
      </w:pPr>
      <w:r w:rsidRPr="00555E72">
        <w:rPr>
          <w:rFonts w:eastAsiaTheme="minorHAnsi" w:cstheme="minorBidi"/>
          <w:sz w:val="20"/>
          <w:szCs w:val="22"/>
        </w:rPr>
        <w:t>Source: Staff calculations.</w:t>
      </w:r>
    </w:p>
    <w:p w14:paraId="29DB1D36" w14:textId="77777777" w:rsidR="002C4F65" w:rsidRPr="00555E72" w:rsidRDefault="002C4F65" w:rsidP="002C4F65">
      <w:pPr>
        <w:spacing w:after="240"/>
        <w:jc w:val="both"/>
        <w:rPr>
          <w:rFonts w:eastAsiaTheme="minorHAnsi" w:cstheme="minorBidi"/>
          <w:szCs w:val="22"/>
        </w:rPr>
      </w:pPr>
      <w:r w:rsidRPr="00555E72">
        <w:t>Staff recommends capital recovery of $25,543 over a seven-year amortization period. The corresp</w:t>
      </w:r>
      <w:r w:rsidRPr="00555E72">
        <w:rPr>
          <w:rFonts w:eastAsiaTheme="minorHAnsi" w:cstheme="minorBidi"/>
          <w:szCs w:val="22"/>
        </w:rPr>
        <w:t>onding annual amortization expense is $3,649.</w:t>
      </w:r>
    </w:p>
    <w:p w14:paraId="55FC5A46" w14:textId="77777777" w:rsidR="002C4F65" w:rsidRPr="00555E72" w:rsidRDefault="002C4F65" w:rsidP="002C4F65">
      <w:pPr>
        <w:jc w:val="both"/>
        <w:rPr>
          <w:rFonts w:ascii="Arial" w:hAnsi="Arial" w:cs="Arial"/>
          <w:b/>
        </w:rPr>
      </w:pPr>
      <w:r w:rsidRPr="00555E72">
        <w:rPr>
          <w:rFonts w:ascii="Arial" w:hAnsi="Arial" w:cs="Arial"/>
          <w:b/>
        </w:rPr>
        <w:t>Accumulated Amortization of Capital Recovery</w:t>
      </w:r>
    </w:p>
    <w:p w14:paraId="4D2013B9" w14:textId="77777777" w:rsidR="002C4F65" w:rsidRDefault="002C4F65" w:rsidP="002C4F65">
      <w:pPr>
        <w:spacing w:after="240"/>
        <w:jc w:val="both"/>
      </w:pPr>
      <w:r w:rsidRPr="00555E72">
        <w:t>As a result of the capped retirement, staff increased this amount by $1,825 to reflect an averaging adjustment. Therefore, staff recommends an accumulated amortization balance of $1,825.</w:t>
      </w:r>
    </w:p>
    <w:p w14:paraId="109E8A84" w14:textId="7E64FDCC" w:rsidR="005352B0" w:rsidRDefault="005352B0" w:rsidP="005352B0">
      <w:pPr>
        <w:jc w:val="both"/>
        <w:rPr>
          <w:rFonts w:ascii="Arial" w:hAnsi="Arial" w:cs="Arial"/>
          <w:b/>
        </w:rPr>
      </w:pPr>
      <w:r w:rsidRPr="005352B0">
        <w:rPr>
          <w:rFonts w:ascii="Arial" w:hAnsi="Arial" w:cs="Arial"/>
          <w:b/>
        </w:rPr>
        <w:t>Contribution</w:t>
      </w:r>
      <w:r w:rsidR="00E54532">
        <w:rPr>
          <w:rFonts w:ascii="Arial" w:hAnsi="Arial" w:cs="Arial"/>
          <w:b/>
        </w:rPr>
        <w:t>s</w:t>
      </w:r>
      <w:r w:rsidR="00611C73">
        <w:rPr>
          <w:rFonts w:ascii="Arial" w:hAnsi="Arial" w:cs="Arial"/>
          <w:b/>
        </w:rPr>
        <w:t>-</w:t>
      </w:r>
      <w:r w:rsidRPr="005352B0">
        <w:rPr>
          <w:rFonts w:ascii="Arial" w:hAnsi="Arial" w:cs="Arial"/>
          <w:b/>
        </w:rPr>
        <w:t>in</w:t>
      </w:r>
      <w:r w:rsidR="00611C73">
        <w:rPr>
          <w:rFonts w:ascii="Arial" w:hAnsi="Arial" w:cs="Arial"/>
          <w:b/>
        </w:rPr>
        <w:t>-A</w:t>
      </w:r>
      <w:r w:rsidRPr="005352B0">
        <w:rPr>
          <w:rFonts w:ascii="Arial" w:hAnsi="Arial" w:cs="Arial"/>
          <w:b/>
        </w:rPr>
        <w:t>id</w:t>
      </w:r>
      <w:r w:rsidR="00611C73">
        <w:rPr>
          <w:rFonts w:ascii="Arial" w:hAnsi="Arial" w:cs="Arial"/>
          <w:b/>
        </w:rPr>
        <w:t>-</w:t>
      </w:r>
      <w:r w:rsidRPr="005352B0">
        <w:rPr>
          <w:rFonts w:ascii="Arial" w:hAnsi="Arial" w:cs="Arial"/>
          <w:b/>
        </w:rPr>
        <w:t>of</w:t>
      </w:r>
      <w:r w:rsidR="00611C73">
        <w:rPr>
          <w:rFonts w:ascii="Arial" w:hAnsi="Arial" w:cs="Arial"/>
          <w:b/>
        </w:rPr>
        <w:t>-</w:t>
      </w:r>
      <w:r w:rsidRPr="005352B0">
        <w:rPr>
          <w:rFonts w:ascii="Arial" w:hAnsi="Arial" w:cs="Arial"/>
          <w:b/>
        </w:rPr>
        <w:t>Construction</w:t>
      </w:r>
    </w:p>
    <w:p w14:paraId="621EF559" w14:textId="4F00D6C6" w:rsidR="005352B0" w:rsidRDefault="005352B0" w:rsidP="005352B0">
      <w:pPr>
        <w:jc w:val="both"/>
      </w:pPr>
      <w:r>
        <w:t>The Utility did not record a CIAC balance. Staff reconciled the CIAC balance using the amount approved in Commission Order No. PSC-2014-0018-PAA-WS.</w:t>
      </w:r>
      <w:r>
        <w:rPr>
          <w:rStyle w:val="FootnoteReference"/>
        </w:rPr>
        <w:footnoteReference w:id="16"/>
      </w:r>
      <w:r>
        <w:t>. Therefore, staff recommends a CIAC balance of $6,790</w:t>
      </w:r>
    </w:p>
    <w:p w14:paraId="5176991F" w14:textId="77777777" w:rsidR="005352B0" w:rsidRPr="005352B0" w:rsidRDefault="005352B0" w:rsidP="005352B0">
      <w:pPr>
        <w:jc w:val="both"/>
      </w:pPr>
    </w:p>
    <w:p w14:paraId="3E6D2AFC" w14:textId="69E4B793" w:rsidR="005352B0" w:rsidRDefault="005352B0" w:rsidP="005352B0">
      <w:pPr>
        <w:jc w:val="both"/>
        <w:rPr>
          <w:rFonts w:ascii="Arial" w:hAnsi="Arial" w:cs="Arial"/>
          <w:b/>
        </w:rPr>
      </w:pPr>
      <w:r w:rsidRPr="00555E72">
        <w:rPr>
          <w:rFonts w:ascii="Arial" w:hAnsi="Arial" w:cs="Arial"/>
          <w:b/>
        </w:rPr>
        <w:t>Accumulated Amortization</w:t>
      </w:r>
      <w:r>
        <w:rPr>
          <w:rFonts w:ascii="Arial" w:hAnsi="Arial" w:cs="Arial"/>
          <w:b/>
        </w:rPr>
        <w:t xml:space="preserve"> of CIAC</w:t>
      </w:r>
    </w:p>
    <w:p w14:paraId="607C183A" w14:textId="08649ADF" w:rsidR="005352B0" w:rsidRDefault="005352B0" w:rsidP="005352B0">
      <w:pPr>
        <w:jc w:val="both"/>
      </w:pPr>
      <w:r w:rsidRPr="005352B0">
        <w:t>Th</w:t>
      </w:r>
      <w:r>
        <w:t xml:space="preserve">e Utility did not record </w:t>
      </w:r>
      <w:r w:rsidR="00611C73">
        <w:t>an</w:t>
      </w:r>
      <w:r>
        <w:t xml:space="preserve"> AA of CIAC balance. Staff calculated the AA of CIAC </w:t>
      </w:r>
      <w:r w:rsidR="006F061E">
        <w:t xml:space="preserve">balance </w:t>
      </w:r>
      <w:r>
        <w:t>using the amount approved in Commission Order No. PSC-2014-0018-PAA-WS.</w:t>
      </w:r>
      <w:r>
        <w:rPr>
          <w:rStyle w:val="FootnoteReference"/>
        </w:rPr>
        <w:footnoteReference w:id="17"/>
      </w:r>
      <w:r>
        <w:t xml:space="preserve"> Therefore, staff recommends a</w:t>
      </w:r>
      <w:r w:rsidR="00611C73">
        <w:t>n</w:t>
      </w:r>
      <w:r>
        <w:t xml:space="preserve"> AA of CIAC balance of $2,052.</w:t>
      </w:r>
    </w:p>
    <w:p w14:paraId="4EFB1765" w14:textId="77777777" w:rsidR="005352B0" w:rsidRPr="005352B0" w:rsidRDefault="005352B0" w:rsidP="005352B0">
      <w:pPr>
        <w:jc w:val="both"/>
        <w:rPr>
          <w:rFonts w:ascii="Arial" w:hAnsi="Arial" w:cs="Arial"/>
          <w:b/>
        </w:rPr>
      </w:pPr>
    </w:p>
    <w:p w14:paraId="62A16BBC" w14:textId="77777777" w:rsidR="002C4F65" w:rsidRPr="00555E72" w:rsidRDefault="002C4F65" w:rsidP="002C4F65">
      <w:pPr>
        <w:jc w:val="both"/>
        <w:rPr>
          <w:rFonts w:ascii="Arial" w:hAnsi="Arial" w:cs="Arial"/>
          <w:b/>
        </w:rPr>
      </w:pPr>
      <w:r w:rsidRPr="00555E72">
        <w:rPr>
          <w:rFonts w:ascii="Arial" w:hAnsi="Arial" w:cs="Arial"/>
          <w:b/>
        </w:rPr>
        <w:t>Land and Land Rights</w:t>
      </w:r>
    </w:p>
    <w:p w14:paraId="65AEE8BB" w14:textId="4EF06068" w:rsidR="002C4F65" w:rsidRDefault="002C4F65" w:rsidP="002C4F65">
      <w:pPr>
        <w:spacing w:after="240"/>
        <w:jc w:val="both"/>
      </w:pPr>
      <w:r w:rsidRPr="00555E72">
        <w:t>The Utility did not record a land and land rights balance. There were no land and land rights balances in the Order granting the Utility certificates for the water and wastewater systems.</w:t>
      </w:r>
      <w:r w:rsidRPr="00555E72">
        <w:rPr>
          <w:vertAlign w:val="superscript"/>
        </w:rPr>
        <w:footnoteReference w:id="18"/>
      </w:r>
      <w:r w:rsidRPr="00555E72">
        <w:t xml:space="preserve"> The Utility operates on leased land with an annual rent of $1. The Utility stated that </w:t>
      </w:r>
      <w:r w:rsidR="00B05987">
        <w:t xml:space="preserve">there </w:t>
      </w:r>
      <w:r w:rsidR="00611C73">
        <w:t xml:space="preserve">have </w:t>
      </w:r>
      <w:r w:rsidR="00B05987">
        <w:t>been no changes</w:t>
      </w:r>
      <w:r w:rsidR="004F5164">
        <w:t xml:space="preserve"> made</w:t>
      </w:r>
      <w:r w:rsidR="00B05987">
        <w:t xml:space="preserve"> to the lease terms </w:t>
      </w:r>
      <w:r w:rsidRPr="00555E72">
        <w:t xml:space="preserve">since the above-referenced order and no new land leases have been entered into since. Staff made no adjustments to this amount and therefore, recommends </w:t>
      </w:r>
      <w:r w:rsidR="007F43CF">
        <w:t xml:space="preserve">a </w:t>
      </w:r>
      <w:r w:rsidRPr="00555E72">
        <w:t xml:space="preserve">land </w:t>
      </w:r>
      <w:r w:rsidR="00611C73">
        <w:t>and</w:t>
      </w:r>
      <w:r w:rsidR="00611C73" w:rsidRPr="00555E72">
        <w:t xml:space="preserve"> </w:t>
      </w:r>
      <w:r w:rsidRPr="00555E72">
        <w:t>land rights balance of $0.</w:t>
      </w:r>
    </w:p>
    <w:p w14:paraId="0E38261D" w14:textId="77777777" w:rsidR="005352B0" w:rsidRDefault="005352B0" w:rsidP="002C4F65">
      <w:pPr>
        <w:spacing w:after="240"/>
        <w:jc w:val="both"/>
      </w:pPr>
    </w:p>
    <w:p w14:paraId="32645868" w14:textId="77777777" w:rsidR="006321D4" w:rsidRDefault="006321D4" w:rsidP="002C4F65">
      <w:pPr>
        <w:spacing w:after="240"/>
        <w:jc w:val="both"/>
      </w:pPr>
    </w:p>
    <w:p w14:paraId="7C7844DA" w14:textId="77777777" w:rsidR="004514A4" w:rsidRPr="00555E72" w:rsidRDefault="004514A4" w:rsidP="002C4F65">
      <w:pPr>
        <w:spacing w:after="240"/>
        <w:jc w:val="both"/>
      </w:pPr>
    </w:p>
    <w:p w14:paraId="02233B2F" w14:textId="77777777" w:rsidR="002C4F65" w:rsidRPr="00555E72" w:rsidRDefault="002C4F65" w:rsidP="002C4F65">
      <w:pPr>
        <w:jc w:val="both"/>
        <w:outlineLvl w:val="2"/>
        <w:rPr>
          <w:rFonts w:ascii="Arial" w:hAnsi="Arial" w:cs="Arial"/>
          <w:b/>
          <w:bCs/>
          <w:iCs/>
          <w:szCs w:val="28"/>
        </w:rPr>
      </w:pPr>
      <w:r w:rsidRPr="00555E72">
        <w:rPr>
          <w:rFonts w:ascii="Arial" w:hAnsi="Arial" w:cs="Arial"/>
          <w:b/>
          <w:bCs/>
          <w:iCs/>
          <w:szCs w:val="28"/>
        </w:rPr>
        <w:t>Used and Useful</w:t>
      </w:r>
    </w:p>
    <w:p w14:paraId="13C31706" w14:textId="3E712497" w:rsidR="002C4F65" w:rsidRPr="00555E72" w:rsidRDefault="002C4F65" w:rsidP="002C4F65">
      <w:pPr>
        <w:spacing w:after="240"/>
        <w:jc w:val="both"/>
      </w:pPr>
      <w:r w:rsidRPr="00555E72">
        <w:t xml:space="preserve">As discussed in Issue 3, the Utility’s system is considered </w:t>
      </w:r>
      <w:r w:rsidRPr="00555E72">
        <w:rPr>
          <w:color w:val="000000" w:themeColor="text1"/>
        </w:rPr>
        <w:t xml:space="preserve">100 </w:t>
      </w:r>
      <w:r w:rsidRPr="00555E72">
        <w:t>percent U&amp;U. Therefore, no U&amp;U adjustment is necessary.</w:t>
      </w:r>
    </w:p>
    <w:p w14:paraId="3E56EDFD" w14:textId="77777777" w:rsidR="002C4F65" w:rsidRPr="00555E72" w:rsidRDefault="002C4F65" w:rsidP="002C4F65">
      <w:pPr>
        <w:jc w:val="both"/>
        <w:outlineLvl w:val="2"/>
        <w:rPr>
          <w:rFonts w:ascii="Arial" w:hAnsi="Arial" w:cs="Arial"/>
          <w:b/>
          <w:bCs/>
          <w:iCs/>
          <w:szCs w:val="28"/>
        </w:rPr>
      </w:pPr>
      <w:r w:rsidRPr="00555E72">
        <w:rPr>
          <w:rFonts w:ascii="Arial" w:hAnsi="Arial" w:cs="Arial"/>
          <w:b/>
          <w:bCs/>
          <w:iCs/>
          <w:szCs w:val="28"/>
        </w:rPr>
        <w:t>Accumulated Depreciation</w:t>
      </w:r>
    </w:p>
    <w:p w14:paraId="27F4CE37" w14:textId="77777777" w:rsidR="002C4F65" w:rsidRPr="00555E72" w:rsidRDefault="002C4F65" w:rsidP="002C4F65">
      <w:pPr>
        <w:spacing w:after="240"/>
        <w:jc w:val="both"/>
      </w:pPr>
      <w:r w:rsidRPr="00555E72">
        <w:t xml:space="preserve">The Utility recorded accumulated depreciation of $329,643. Audit staff increased this amount by $30,816 to reflect corrections to UPIS and the application of the correct depreciation rates per Rule 25-30.140, F.A.C. </w:t>
      </w:r>
    </w:p>
    <w:p w14:paraId="7597DC82" w14:textId="77777777" w:rsidR="002C4F65" w:rsidRPr="00555E72" w:rsidRDefault="002C4F65" w:rsidP="002C4F65">
      <w:pPr>
        <w:spacing w:after="240"/>
        <w:jc w:val="both"/>
      </w:pPr>
      <w:r w:rsidRPr="00555E72">
        <w:t>Staff increased this amount by $69,165 to reflect an averaging adjustment, but also decreased this amount by $19,545 to reflect pro forma additions and retirements.</w:t>
      </w:r>
    </w:p>
    <w:p w14:paraId="5DF360D5" w14:textId="6E573902" w:rsidR="002C4F65" w:rsidRPr="00555E72" w:rsidRDefault="002C4F65" w:rsidP="002C4F65">
      <w:pPr>
        <w:spacing w:after="240"/>
        <w:jc w:val="both"/>
      </w:pPr>
      <w:r w:rsidRPr="00555E72">
        <w:t>Additionally, staff decreased this amount by $170,155 to reflect the appropriate retirements of assets, to correct over-depreciation associated with Account 364 – Flow Measuring Devices, and to reflect the updated depreciation expense associated with</w:t>
      </w:r>
      <w:r w:rsidR="004F5164">
        <w:t xml:space="preserve"> updated</w:t>
      </w:r>
      <w:r w:rsidRPr="00555E72">
        <w:t xml:space="preserve"> plant retirements. Staff’s adjustments to accumulated depreciation result in a net decrease of $89,719. Therefore, staff recommends accumulated depreciation balance of $239,924.</w:t>
      </w:r>
    </w:p>
    <w:p w14:paraId="5CD6C416" w14:textId="77777777" w:rsidR="002C4F65" w:rsidRPr="00555E72" w:rsidRDefault="002C4F65" w:rsidP="002C4F65">
      <w:pPr>
        <w:jc w:val="both"/>
        <w:outlineLvl w:val="2"/>
        <w:rPr>
          <w:rFonts w:ascii="Arial" w:hAnsi="Arial" w:cs="Arial"/>
          <w:b/>
          <w:bCs/>
          <w:iCs/>
          <w:szCs w:val="28"/>
        </w:rPr>
      </w:pPr>
      <w:r w:rsidRPr="00555E72">
        <w:rPr>
          <w:rFonts w:ascii="Arial" w:hAnsi="Arial" w:cs="Arial"/>
          <w:b/>
          <w:bCs/>
          <w:iCs/>
          <w:szCs w:val="28"/>
        </w:rPr>
        <w:t>Working Capital Allowance</w:t>
      </w:r>
    </w:p>
    <w:p w14:paraId="362D71BC" w14:textId="6BF5758A" w:rsidR="002C4F65" w:rsidRPr="00555E72" w:rsidRDefault="002C4F65" w:rsidP="002C4F65">
      <w:pPr>
        <w:spacing w:after="240"/>
        <w:jc w:val="both"/>
      </w:pPr>
      <w:r w:rsidRPr="00555E72">
        <w:t>Working capital is defined as the short-term investor-supplied funds that are necessary to meet operating expenses. Consistent with Rule 25-30.433(3), F.A.C., staff used the one-eighth O&amp;M expense (less rate case expense) formula for calculating the working capital allowance.</w:t>
      </w:r>
      <w:r w:rsidRPr="00555E72">
        <w:rPr>
          <w:vertAlign w:val="superscript"/>
        </w:rPr>
        <w:footnoteReference w:id="19"/>
      </w:r>
      <w:r w:rsidRPr="00555E72">
        <w:t xml:space="preserve"> As such, staff removed the rate case expense of $</w:t>
      </w:r>
      <w:r w:rsidR="007F43CF">
        <w:t>3,001</w:t>
      </w:r>
      <w:r w:rsidRPr="00555E72">
        <w:t xml:space="preserve">. This resulted in an adjusted O&amp;M expense balance of </w:t>
      </w:r>
      <w:r w:rsidRPr="001C2DF9">
        <w:t>$110,340. Applying this formula, staff recommends a working capital allowance of $13,7</w:t>
      </w:r>
      <w:r>
        <w:t>92</w:t>
      </w:r>
      <w:r w:rsidRPr="001C2DF9">
        <w:t>.</w:t>
      </w:r>
    </w:p>
    <w:p w14:paraId="087108CD" w14:textId="77777777" w:rsidR="002C4F65" w:rsidRPr="00555E72" w:rsidRDefault="002C4F65" w:rsidP="002C4F65">
      <w:pPr>
        <w:jc w:val="both"/>
        <w:outlineLvl w:val="2"/>
        <w:rPr>
          <w:rFonts w:ascii="Arial" w:hAnsi="Arial" w:cs="Arial"/>
          <w:b/>
          <w:bCs/>
          <w:iCs/>
          <w:szCs w:val="28"/>
        </w:rPr>
      </w:pPr>
      <w:r w:rsidRPr="00555E72">
        <w:rPr>
          <w:rFonts w:ascii="Arial" w:hAnsi="Arial" w:cs="Arial"/>
          <w:b/>
          <w:bCs/>
          <w:iCs/>
          <w:szCs w:val="28"/>
        </w:rPr>
        <w:t>Rate Base Summary</w:t>
      </w:r>
    </w:p>
    <w:p w14:paraId="736B493B" w14:textId="78A43EF9" w:rsidR="002C4F65" w:rsidRPr="00555E72" w:rsidRDefault="002C4F65" w:rsidP="002C4F65">
      <w:pPr>
        <w:spacing w:after="240"/>
        <w:jc w:val="both"/>
      </w:pPr>
      <w:r w:rsidRPr="00555E72">
        <w:t xml:space="preserve">Based on the foregoing, staff recommends an appropriate average test year rate base of </w:t>
      </w:r>
      <w:r w:rsidR="004C59B9">
        <w:t>$677,077</w:t>
      </w:r>
      <w:r w:rsidRPr="00555E72">
        <w:t>. Rate base is shown on Schedule No. 1-A. The related adjustments are shown on Schedule No. 1-B.</w:t>
      </w:r>
    </w:p>
    <w:p w14:paraId="7DC524F8" w14:textId="75E55571" w:rsidR="00555E72" w:rsidRPr="00555E72" w:rsidRDefault="00555E72" w:rsidP="00555E72">
      <w:pPr>
        <w:spacing w:after="240"/>
        <w:jc w:val="both"/>
        <w:outlineLvl w:val="1"/>
        <w:rPr>
          <w:rFonts w:ascii="Arial" w:hAnsi="Arial" w:cs="Arial"/>
          <w:b/>
          <w:bCs/>
          <w:i/>
          <w:iCs/>
          <w:vanish/>
          <w:szCs w:val="28"/>
        </w:rPr>
      </w:pPr>
    </w:p>
    <w:p w14:paraId="4E11F254" w14:textId="34AC2654" w:rsidR="00C05CAF" w:rsidRPr="00875D78" w:rsidRDefault="00555E72" w:rsidP="00C05CAF">
      <w:pPr>
        <w:pStyle w:val="IssueHeading"/>
        <w:rPr>
          <w:vanish/>
          <w:specVanish/>
        </w:rPr>
      </w:pPr>
      <w:r w:rsidRPr="00555E72">
        <w:br w:type="page"/>
        <w:t>Issu</w:t>
      </w:r>
      <w:r w:rsidRPr="00555E72">
        <w:rPr>
          <w:noProof/>
        </w:rPr>
        <w:t xml:space="preserve">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5</w:t>
      </w:r>
      <w:r w:rsidR="00C8514D" w:rsidRPr="00C8514D">
        <w:rPr>
          <w:noProof/>
        </w:rPr>
        <w:fldChar w:fldCharType="end"/>
      </w:r>
      <w:r w:rsidRPr="00555E72">
        <w:rPr>
          <w:noProof/>
        </w:rPr>
        <w:t>:</w:t>
      </w:r>
      <w:r w:rsidR="00C05CAF" w:rsidRPr="00555E72">
        <w:rPr>
          <w:b w:val="0"/>
          <w:bCs w:val="0"/>
          <w:i w:val="0"/>
        </w:rPr>
        <w:fldChar w:fldCharType="begin"/>
      </w:r>
      <w:r w:rsidR="00C05CAF" w:rsidRPr="00555E72">
        <w:instrText xml:space="preserve"> TC "</w:instrText>
      </w:r>
      <w:r w:rsidR="00C05CAF" w:rsidRPr="00555E72">
        <w:rPr>
          <w:b w:val="0"/>
          <w:bCs w:val="0"/>
          <w:i w:val="0"/>
        </w:rPr>
        <w:fldChar w:fldCharType="begin"/>
      </w:r>
      <w:r w:rsidR="00C05CAF" w:rsidRPr="00555E72">
        <w:instrText xml:space="preserve"> SEQ issue \c </w:instrText>
      </w:r>
      <w:r w:rsidR="00C05CAF" w:rsidRPr="00555E72">
        <w:rPr>
          <w:b w:val="0"/>
          <w:bCs w:val="0"/>
          <w:i w:val="0"/>
        </w:rPr>
        <w:fldChar w:fldCharType="separate"/>
      </w:r>
      <w:bookmarkStart w:id="30" w:name="_Toc224892267"/>
      <w:bookmarkStart w:id="31" w:name="_Toc231452273"/>
      <w:r w:rsidR="00AD1D97">
        <w:rPr>
          <w:noProof/>
        </w:rPr>
        <w:instrText>5</w:instrText>
      </w:r>
      <w:r w:rsidR="00C05CAF" w:rsidRPr="00555E72">
        <w:rPr>
          <w:b w:val="0"/>
          <w:bCs w:val="0"/>
          <w:i w:val="0"/>
        </w:rPr>
        <w:fldChar w:fldCharType="end"/>
      </w:r>
      <w:r w:rsidR="00C05CAF" w:rsidRPr="00555E72">
        <w:tab/>
        <w:instrText>Test Year Revenues</w:instrText>
      </w:r>
      <w:bookmarkEnd w:id="30"/>
      <w:bookmarkEnd w:id="31"/>
      <w:r w:rsidR="00C05CAF" w:rsidRPr="00555E72">
        <w:instrText xml:space="preserve">" \l 1 </w:instrText>
      </w:r>
      <w:r w:rsidR="00C05CAF" w:rsidRPr="00555E72">
        <w:rPr>
          <w:b w:val="0"/>
          <w:bCs w:val="0"/>
          <w:i w:val="0"/>
        </w:rPr>
        <w:fldChar w:fldCharType="end"/>
      </w:r>
      <w:r w:rsidR="00C05CAF" w:rsidRPr="00555E72">
        <w:t> </w:t>
      </w:r>
    </w:p>
    <w:p w14:paraId="1EEC759C" w14:textId="28E25445" w:rsidR="00C05CAF" w:rsidRPr="00086203" w:rsidRDefault="00C05CAF" w:rsidP="00C05CAF">
      <w:pPr>
        <w:spacing w:after="240"/>
        <w:jc w:val="both"/>
        <w:outlineLvl w:val="0"/>
      </w:pPr>
      <w:r w:rsidRPr="00555E72">
        <w:rPr>
          <w:rFonts w:ascii="Arial" w:hAnsi="Arial" w:cs="Arial"/>
          <w:b/>
          <w:bCs/>
          <w:i/>
          <w:kern w:val="32"/>
          <w:szCs w:val="32"/>
        </w:rPr>
        <w:t> </w:t>
      </w:r>
      <w:r w:rsidR="002C4F65" w:rsidRPr="00555E72">
        <w:t>What is the appropriate return on equity and overall rate of return for Sunlake Estates Utilities, L.L.C.?</w:t>
      </w:r>
    </w:p>
    <w:p w14:paraId="10494B93" w14:textId="55673D2F"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333E633D" w14:textId="0AC01143" w:rsidR="007D7227" w:rsidRPr="00086203" w:rsidRDefault="00C05CAF" w:rsidP="00BF7ABF">
      <w:pPr>
        <w:spacing w:after="240"/>
        <w:jc w:val="both"/>
        <w:outlineLvl w:val="1"/>
      </w:pPr>
      <w:r w:rsidRPr="00555E72">
        <w:rPr>
          <w:rFonts w:ascii="Arial" w:hAnsi="Arial" w:cs="Arial"/>
          <w:b/>
          <w:bCs/>
          <w:i/>
          <w:kern w:val="32"/>
          <w:szCs w:val="32"/>
        </w:rPr>
        <w:t> </w:t>
      </w:r>
      <w:r w:rsidR="002C4F65" w:rsidRPr="00555E72">
        <w:t>The appropriate return on equity (ROE) is 8.5</w:t>
      </w:r>
      <w:r w:rsidR="002C4F65">
        <w:t>8</w:t>
      </w:r>
      <w:r w:rsidR="002C4F65" w:rsidRPr="00555E72">
        <w:t xml:space="preserve"> percent with a range of 7.5</w:t>
      </w:r>
      <w:r w:rsidR="002C4F65">
        <w:t>8</w:t>
      </w:r>
      <w:r w:rsidR="002C4F65" w:rsidRPr="00555E72">
        <w:t xml:space="preserve"> percent to 9.5</w:t>
      </w:r>
      <w:r w:rsidR="002C4F65">
        <w:t>8</w:t>
      </w:r>
      <w:r w:rsidR="002C4F65" w:rsidRPr="00555E72">
        <w:t xml:space="preserve"> percent. The appropriate overall rate of return is 8.5</w:t>
      </w:r>
      <w:r w:rsidR="002C4F65">
        <w:t>8</w:t>
      </w:r>
      <w:r w:rsidR="002C4F65" w:rsidRPr="00555E72">
        <w:t xml:space="preserve"> percent. (Lenberg)</w:t>
      </w:r>
    </w:p>
    <w:p w14:paraId="69C7202F" w14:textId="0B6A9137"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04D1714F" w14:textId="172A9135" w:rsidR="00555E72" w:rsidRPr="00BF7ABF" w:rsidRDefault="00086203" w:rsidP="00086203">
      <w:pPr>
        <w:spacing w:after="240"/>
        <w:jc w:val="both"/>
      </w:pPr>
      <w:r w:rsidRPr="00555E72">
        <w:rPr>
          <w:rFonts w:ascii="Arial" w:hAnsi="Arial" w:cs="Arial"/>
          <w:b/>
          <w:bCs/>
          <w:i/>
          <w:kern w:val="32"/>
          <w:szCs w:val="32"/>
        </w:rPr>
        <w:t> </w:t>
      </w:r>
      <w:r w:rsidR="002C4F65" w:rsidRPr="00555E72">
        <w:t xml:space="preserve">The Utility’s capital structure consists </w:t>
      </w:r>
      <w:r w:rsidR="00B05987">
        <w:t xml:space="preserve">solely </w:t>
      </w:r>
      <w:r w:rsidR="002C4F65" w:rsidRPr="00555E72">
        <w:t>of common equity. The Utility’s capital structure has been reconciled to staff’s recommended rate base. The ROE is 8.5</w:t>
      </w:r>
      <w:r w:rsidR="002C4F65">
        <w:t>8</w:t>
      </w:r>
      <w:r w:rsidR="002C4F65" w:rsidRPr="00555E72">
        <w:t xml:space="preserve"> percent based on the Commission-approved leverage formula</w:t>
      </w:r>
      <w:r w:rsidR="0053001E">
        <w:t xml:space="preserve"> </w:t>
      </w:r>
      <w:r w:rsidR="00B05987">
        <w:t xml:space="preserve">currently </w:t>
      </w:r>
      <w:r w:rsidR="002C4F65" w:rsidRPr="00555E72">
        <w:t>in effect.</w:t>
      </w:r>
      <w:r w:rsidR="002C4F65" w:rsidRPr="00555E72">
        <w:rPr>
          <w:vertAlign w:val="superscript"/>
        </w:rPr>
        <w:footnoteReference w:id="20"/>
      </w:r>
      <w:r w:rsidR="002C4F65" w:rsidRPr="00555E72">
        <w:t xml:space="preserve"> Staff recommends an ROE of 8.5</w:t>
      </w:r>
      <w:r w:rsidR="002C4F65">
        <w:t>8</w:t>
      </w:r>
      <w:r w:rsidR="002C4F65" w:rsidRPr="00555E72">
        <w:t xml:space="preserve"> percent with a range of 7.5</w:t>
      </w:r>
      <w:r w:rsidR="002C4F65">
        <w:t>8</w:t>
      </w:r>
      <w:r w:rsidR="002C4F65" w:rsidRPr="00555E72">
        <w:t xml:space="preserve"> percent to 9.5</w:t>
      </w:r>
      <w:r w:rsidR="002C4F65">
        <w:t>8</w:t>
      </w:r>
      <w:r w:rsidR="002C4F65" w:rsidRPr="00555E72">
        <w:t xml:space="preserve"> percent, and an overall rate of return of 8.5</w:t>
      </w:r>
      <w:r w:rsidR="002C4F65">
        <w:t>8</w:t>
      </w:r>
      <w:r w:rsidR="002C4F65" w:rsidRPr="00555E72">
        <w:t xml:space="preserve"> percent. The ROE and overall rate of return are shown on Schedule No. 2.</w:t>
      </w:r>
    </w:p>
    <w:p w14:paraId="723A58E6" w14:textId="773ABE93" w:rsidR="00C05CAF" w:rsidRPr="00875D78" w:rsidRDefault="00555E72" w:rsidP="00C05CAF">
      <w:pPr>
        <w:pStyle w:val="IssueHeading"/>
        <w:rPr>
          <w:vanish/>
          <w:specVanish/>
        </w:rPr>
      </w:pPr>
      <w:r w:rsidRPr="00555E72">
        <w:br w:type="page"/>
      </w:r>
      <w:bookmarkStart w:id="32" w:name="_Hlk234563715"/>
      <w:r w:rsidRPr="00555E72">
        <w:t>Issue</w:t>
      </w:r>
      <w:r w:rsidRPr="00555E72">
        <w:rPr>
          <w:noProof/>
        </w:rPr>
        <w:t xml:space="preserv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6</w:t>
      </w:r>
      <w:r w:rsidR="00C8514D" w:rsidRPr="00C8514D">
        <w:rPr>
          <w:noProof/>
        </w:rPr>
        <w:fldChar w:fldCharType="end"/>
      </w:r>
      <w:r w:rsidRPr="00555E72">
        <w:rPr>
          <w:noProof/>
        </w:rPr>
        <w:t>:</w:t>
      </w:r>
      <w:r w:rsidRPr="00C8514D">
        <w:rPr>
          <w:noProof/>
        </w:rPr>
        <w:fldChar w:fldCharType="begin"/>
      </w:r>
      <w:r w:rsidRPr="00555E72">
        <w:rPr>
          <w:noProof/>
        </w:rPr>
        <w:instrText xml:space="preserve"> TC "</w:instrText>
      </w:r>
      <w:r w:rsidRPr="00C8514D">
        <w:rPr>
          <w:noProof/>
        </w:rPr>
        <w:fldChar w:fldCharType="begin"/>
      </w:r>
      <w:r w:rsidRPr="00555E72">
        <w:rPr>
          <w:noProof/>
        </w:rPr>
        <w:instrText xml:space="preserve"> SEQ issue \c </w:instrText>
      </w:r>
      <w:r w:rsidRPr="00C8514D">
        <w:rPr>
          <w:noProof/>
        </w:rPr>
        <w:fldChar w:fldCharType="separate"/>
      </w:r>
      <w:bookmarkStart w:id="33" w:name="_Toc224892268"/>
      <w:bookmarkStart w:id="34" w:name="_Toc231452274"/>
      <w:r w:rsidR="00AD1D97">
        <w:rPr>
          <w:noProof/>
        </w:rPr>
        <w:instrText>6</w:instrText>
      </w:r>
      <w:r w:rsidRPr="00C8514D">
        <w:rPr>
          <w:noProof/>
        </w:rPr>
        <w:fldChar w:fldCharType="end"/>
      </w:r>
      <w:r w:rsidRPr="00555E72">
        <w:rPr>
          <w:noProof/>
        </w:rPr>
        <w:tab/>
        <w:instrText>Operating Expenses</w:instrText>
      </w:r>
      <w:bookmarkEnd w:id="33"/>
      <w:bookmarkEnd w:id="34"/>
      <w:r w:rsidRPr="00555E72">
        <w:rPr>
          <w:noProof/>
        </w:rPr>
        <w:instrText xml:space="preserve">" \l 1 </w:instrText>
      </w:r>
      <w:r w:rsidRPr="00C8514D">
        <w:rPr>
          <w:noProof/>
        </w:rPr>
        <w:fldChar w:fldCharType="end"/>
      </w:r>
      <w:r w:rsidR="00C05CAF" w:rsidRPr="00555E72">
        <w:rPr>
          <w:noProof/>
        </w:rPr>
        <w:t> </w:t>
      </w:r>
    </w:p>
    <w:p w14:paraId="2AC87A35" w14:textId="6960CAF8" w:rsidR="00C05CAF" w:rsidRPr="00C05CAF" w:rsidRDefault="00C05CAF" w:rsidP="00C05CAF">
      <w:pPr>
        <w:spacing w:after="240"/>
        <w:jc w:val="both"/>
        <w:outlineLvl w:val="0"/>
      </w:pPr>
      <w:r w:rsidRPr="00555E72">
        <w:rPr>
          <w:rFonts w:ascii="Arial" w:hAnsi="Arial" w:cs="Arial"/>
          <w:b/>
          <w:bCs/>
          <w:i/>
          <w:kern w:val="32"/>
          <w:szCs w:val="32"/>
        </w:rPr>
        <w:t> </w:t>
      </w:r>
      <w:r w:rsidR="002C4F65" w:rsidRPr="00555E72">
        <w:t>What are the appropriate test year operating revenues for the water system of Sunlake Estates Utilities, L.L.C.?</w:t>
      </w:r>
    </w:p>
    <w:p w14:paraId="7CD32139" w14:textId="63A487E8"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1F42CF36" w14:textId="0259CC8C" w:rsidR="007D7227" w:rsidRPr="00086203" w:rsidRDefault="00C05CAF" w:rsidP="002C4F65">
      <w:pPr>
        <w:spacing w:after="240"/>
        <w:jc w:val="both"/>
        <w:outlineLvl w:val="1"/>
        <w:rPr>
          <w:rFonts w:ascii="Arial" w:hAnsi="Arial" w:cs="Arial"/>
          <w:b/>
          <w:bCs/>
          <w:i/>
          <w:iCs/>
          <w:szCs w:val="28"/>
        </w:rPr>
      </w:pPr>
      <w:r w:rsidRPr="00555E72">
        <w:rPr>
          <w:rFonts w:ascii="Arial" w:hAnsi="Arial" w:cs="Arial"/>
          <w:b/>
          <w:bCs/>
          <w:i/>
          <w:kern w:val="32"/>
          <w:szCs w:val="32"/>
        </w:rPr>
        <w:t> </w:t>
      </w:r>
      <w:r w:rsidR="004F5164">
        <w:t>The appropriate test year operating revenues for Sunlake Estates’ water system are $134,638. (Rashawn)</w:t>
      </w:r>
    </w:p>
    <w:p w14:paraId="0D7EB448" w14:textId="3DA300C9"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35649590" w14:textId="310BBDAC" w:rsidR="004F5164" w:rsidRPr="00F36BC1" w:rsidRDefault="00086203" w:rsidP="00086203">
      <w:pPr>
        <w:jc w:val="both"/>
        <w:rPr>
          <w:rFonts w:eastAsiaTheme="minorHAnsi" w:cstheme="minorBidi"/>
          <w:szCs w:val="22"/>
        </w:rPr>
      </w:pPr>
      <w:r w:rsidRPr="00555E72">
        <w:rPr>
          <w:rFonts w:ascii="Arial" w:hAnsi="Arial" w:cs="Arial"/>
          <w:b/>
          <w:bCs/>
          <w:i/>
          <w:kern w:val="32"/>
          <w:szCs w:val="32"/>
        </w:rPr>
        <w:t> </w:t>
      </w:r>
      <w:r w:rsidR="004F5164" w:rsidRPr="00F36BC1">
        <w:rPr>
          <w:rFonts w:eastAsiaTheme="minorHAnsi" w:cstheme="minorBidi"/>
          <w:szCs w:val="22"/>
        </w:rPr>
        <w:t>The Utility recorded total test year operating revenues of $108,001 for water. The water revenues consisted of $108,001 in service revenues and no miscellaneous revenues. Staff’s review of the audit indicated that the Utility’s billing register contained several inaccuracies for the water system during the test year. The Utility billed an incorrect base facility charge (BFC) of $11.22 rather than the Commission-approved BFC of $11.44 for the 5/8-inch x 3/4-inch meter size, which resulted in an undercharge of $0.22 per month. During the test year, some residential usage</w:t>
      </w:r>
      <w:r w:rsidR="000D05DA">
        <w:rPr>
          <w:rFonts w:eastAsiaTheme="minorHAnsi" w:cstheme="minorBidi"/>
          <w:szCs w:val="22"/>
        </w:rPr>
        <w:t xml:space="preserve"> data</w:t>
      </w:r>
      <w:r w:rsidR="004F5164" w:rsidRPr="00F36BC1">
        <w:rPr>
          <w:rFonts w:eastAsiaTheme="minorHAnsi" w:cstheme="minorBidi"/>
          <w:szCs w:val="22"/>
        </w:rPr>
        <w:t xml:space="preserve"> was missing and the general service customers were not billed.</w:t>
      </w:r>
    </w:p>
    <w:p w14:paraId="6ECA7C0B" w14:textId="77777777" w:rsidR="004F5164" w:rsidRPr="00F36BC1" w:rsidRDefault="004F5164" w:rsidP="004F5164">
      <w:pPr>
        <w:jc w:val="both"/>
        <w:rPr>
          <w:rFonts w:eastAsiaTheme="minorHAnsi" w:cstheme="minorBidi"/>
          <w:szCs w:val="22"/>
        </w:rPr>
      </w:pPr>
    </w:p>
    <w:p w14:paraId="69059DD1" w14:textId="3330C44F" w:rsidR="004F5164" w:rsidRPr="00F36BC1" w:rsidRDefault="009E68AD" w:rsidP="004F5164">
      <w:pPr>
        <w:jc w:val="both"/>
        <w:rPr>
          <w:rFonts w:eastAsiaTheme="minorHAnsi" w:cstheme="minorBidi"/>
          <w:szCs w:val="22"/>
        </w:rPr>
      </w:pPr>
      <w:r w:rsidRPr="009E68AD">
        <w:rPr>
          <w:rFonts w:eastAsiaTheme="minorHAnsi" w:cstheme="minorBidi"/>
          <w:szCs w:val="22"/>
        </w:rPr>
        <w:t>During the test year, residential service customers’ bills classified by the Utility as landowners were not reflected in the billing data. In addition, some of the residential billing data was incomplete due to customer move ins and move outs.</w:t>
      </w:r>
      <w:r w:rsidR="004F5164" w:rsidRPr="00F36BC1">
        <w:rPr>
          <w:rFonts w:eastAsiaTheme="minorHAnsi" w:cstheme="minorBidi"/>
          <w:szCs w:val="22"/>
        </w:rPr>
        <w:t xml:space="preserve"> In response to audit staff’s request, the Utility provided revised billing data to reflect the landowners that were not billed during the test year, which reflected 573,929 gallons. Staff utilized the customers’ average monthly usage for the year to supplement the incomplete billing data. Staff’s average of the missing residential usage resulted in a total of 436,842 gallons. These additional residential gallons total 1,010,771 (573,929 + 436,842). These adjustments resulted in total residential usage of 32,391,440.</w:t>
      </w:r>
    </w:p>
    <w:p w14:paraId="17844374" w14:textId="77777777" w:rsidR="004F5164" w:rsidRPr="00F36BC1" w:rsidRDefault="004F5164" w:rsidP="004F5164">
      <w:pPr>
        <w:jc w:val="both"/>
        <w:rPr>
          <w:rFonts w:eastAsiaTheme="minorHAnsi" w:cstheme="minorBidi"/>
          <w:szCs w:val="22"/>
        </w:rPr>
      </w:pPr>
    </w:p>
    <w:p w14:paraId="481C7B87" w14:textId="2341A185" w:rsidR="004F5164" w:rsidRPr="00F36BC1" w:rsidRDefault="004F5164" w:rsidP="004F5164">
      <w:pPr>
        <w:jc w:val="both"/>
        <w:rPr>
          <w:rFonts w:eastAsiaTheme="minorHAnsi" w:cstheme="minorBidi"/>
          <w:szCs w:val="22"/>
        </w:rPr>
      </w:pPr>
      <w:r w:rsidRPr="00F36BC1">
        <w:rPr>
          <w:rFonts w:eastAsiaTheme="minorHAnsi" w:cstheme="minorBidi"/>
          <w:szCs w:val="22"/>
        </w:rPr>
        <w:t>For general service, staff discovered that the Utility’s certificate case included several general service customers that were not reflected in the billing register.</w:t>
      </w:r>
      <w:r w:rsidR="00637308" w:rsidRPr="00F36BC1">
        <w:rPr>
          <w:rFonts w:eastAsiaTheme="minorHAnsi" w:cstheme="minorBidi"/>
          <w:szCs w:val="22"/>
          <w:vertAlign w:val="superscript"/>
        </w:rPr>
        <w:footnoteReference w:id="21"/>
      </w:r>
      <w:r w:rsidRPr="00F36BC1">
        <w:rPr>
          <w:rFonts w:eastAsiaTheme="minorHAnsi" w:cstheme="minorBidi"/>
          <w:szCs w:val="22"/>
        </w:rPr>
        <w:t xml:space="preserve"> During the preliminary phase of the case, the Utility provided billing determinants and meter sizes for only seven general service customers. Later, a review of the Utility’s site map indicated more general service customers than reported in the staff report. Staff noticed that the general service customers shown on the site map were also the same customers identified in the Utility's origin</w:t>
      </w:r>
      <w:r w:rsidRPr="001679B5">
        <w:rPr>
          <w:rFonts w:eastAsiaTheme="minorHAnsi" w:cstheme="minorBidi"/>
          <w:szCs w:val="22"/>
        </w:rPr>
        <w:t>al 2013 certificat</w:t>
      </w:r>
      <w:r w:rsidRPr="00F36BC1">
        <w:rPr>
          <w:rFonts w:eastAsiaTheme="minorHAnsi" w:cstheme="minorBidi"/>
          <w:szCs w:val="22"/>
        </w:rPr>
        <w:t xml:space="preserve">e case. Therefore, staff contacted the Utility requesting additional billing determinants and the appropriate meter sizes for the unaccounted-for general service customers. In response to staff’s inquiry, the Utility provided 2024 test year usage data reflecting only seven general service customers, which staff believed was insufficient data. </w:t>
      </w:r>
    </w:p>
    <w:p w14:paraId="07BBC157" w14:textId="77777777" w:rsidR="004F5164" w:rsidRPr="00F36BC1" w:rsidRDefault="004F5164" w:rsidP="004F5164">
      <w:pPr>
        <w:jc w:val="both"/>
        <w:rPr>
          <w:rFonts w:eastAsiaTheme="minorHAnsi" w:cstheme="minorBidi"/>
          <w:szCs w:val="22"/>
        </w:rPr>
      </w:pPr>
    </w:p>
    <w:p w14:paraId="48F4CB2C" w14:textId="77777777" w:rsidR="004F5164" w:rsidRDefault="004F5164" w:rsidP="004F5164">
      <w:pPr>
        <w:jc w:val="both"/>
        <w:rPr>
          <w:rFonts w:eastAsiaTheme="minorHAnsi" w:cstheme="minorBidi"/>
          <w:szCs w:val="22"/>
        </w:rPr>
      </w:pPr>
      <w:r w:rsidRPr="00F36BC1">
        <w:rPr>
          <w:rFonts w:eastAsiaTheme="minorHAnsi" w:cstheme="minorBidi"/>
          <w:szCs w:val="22"/>
        </w:rPr>
        <w:t>On March 17, 2026, staff contacted the Utility by email requesting information regarding 12 potential general service customers. On March 23, 2026, the Utility responded by providing meter sizes for the same seven general service customers, which did not include usage data. On May 1, 2026, staff sent its fifth data request requesting the most recent 12-month usage for the seven general service customers as well as other general service customers shown on the Utility’s site map. In response to staff's fifth data request, the Utility provided 2025 data indicating higher usage totaling 3,547,500 gallons for the seven general service customers and an irrigation customer.</w:t>
      </w:r>
    </w:p>
    <w:p w14:paraId="30335656" w14:textId="77777777" w:rsidR="008347F9" w:rsidRPr="00F36BC1" w:rsidRDefault="008347F9" w:rsidP="004F5164">
      <w:pPr>
        <w:jc w:val="both"/>
        <w:rPr>
          <w:rFonts w:eastAsiaTheme="minorHAnsi" w:cstheme="minorBidi"/>
          <w:szCs w:val="22"/>
        </w:rPr>
      </w:pPr>
    </w:p>
    <w:p w14:paraId="72232309" w14:textId="6F02AF3F" w:rsidR="004F5164" w:rsidRPr="00F36BC1" w:rsidRDefault="004F5164" w:rsidP="004F5164">
      <w:pPr>
        <w:jc w:val="both"/>
        <w:rPr>
          <w:rFonts w:eastAsiaTheme="minorHAnsi" w:cstheme="minorBidi"/>
          <w:szCs w:val="22"/>
        </w:rPr>
      </w:pPr>
      <w:r w:rsidRPr="00F36BC1">
        <w:rPr>
          <w:rFonts w:eastAsiaTheme="minorHAnsi" w:cstheme="minorBidi"/>
          <w:szCs w:val="22"/>
        </w:rPr>
        <w:t>However, based on the site map, there were five customers that were still unaccounted for, which consisted of four irrigation customers and a general service customer. Staff ultimately elected to use the 2013 data from the certificate case to determine the usage data and meter sizes for these customers. Staff calculated an average of the customer’s 2013 usage data and multiplied the average by twelve months, which resulted in a total of 823,2</w:t>
      </w:r>
      <w:r w:rsidR="0079534E">
        <w:rPr>
          <w:rFonts w:eastAsiaTheme="minorHAnsi" w:cstheme="minorBidi"/>
          <w:szCs w:val="22"/>
        </w:rPr>
        <w:t>18</w:t>
      </w:r>
      <w:r w:rsidRPr="00F36BC1">
        <w:rPr>
          <w:rFonts w:eastAsiaTheme="minorHAnsi" w:cstheme="minorBidi"/>
          <w:szCs w:val="22"/>
        </w:rPr>
        <w:t xml:space="preserve"> gallons for the five customers. The golf course owns its well and is not serviced by the Utility.</w:t>
      </w:r>
      <w:r w:rsidRPr="00F36BC1">
        <w:rPr>
          <w:rFonts w:eastAsiaTheme="minorHAnsi" w:cstheme="minorBidi"/>
          <w:szCs w:val="22"/>
          <w:vertAlign w:val="superscript"/>
        </w:rPr>
        <w:footnoteReference w:id="22"/>
      </w:r>
      <w:r w:rsidRPr="00F36BC1">
        <w:rPr>
          <w:rFonts w:eastAsiaTheme="minorHAnsi" w:cstheme="minorBidi"/>
          <w:szCs w:val="22"/>
        </w:rPr>
        <w:t xml:space="preserve"> Based on the above, there is a total of </w:t>
      </w:r>
      <w:r w:rsidR="0018358D">
        <w:rPr>
          <w:rFonts w:eastAsiaTheme="minorHAnsi" w:cstheme="minorBidi"/>
          <w:szCs w:val="22"/>
        </w:rPr>
        <w:t>eight</w:t>
      </w:r>
      <w:r w:rsidRPr="00F36BC1">
        <w:rPr>
          <w:rFonts w:eastAsiaTheme="minorHAnsi" w:cstheme="minorBidi"/>
          <w:szCs w:val="22"/>
        </w:rPr>
        <w:t xml:space="preserve"> general service customers and </w:t>
      </w:r>
      <w:r w:rsidR="0018358D">
        <w:rPr>
          <w:rFonts w:eastAsiaTheme="minorHAnsi" w:cstheme="minorBidi"/>
          <w:szCs w:val="22"/>
        </w:rPr>
        <w:t>five</w:t>
      </w:r>
      <w:r w:rsidRPr="00F36BC1">
        <w:rPr>
          <w:rFonts w:eastAsiaTheme="minorHAnsi" w:cstheme="minorBidi"/>
          <w:szCs w:val="22"/>
        </w:rPr>
        <w:t xml:space="preserve"> irrigation customers, which reflects usage of </w:t>
      </w:r>
      <w:r w:rsidRPr="00DF098F">
        <w:rPr>
          <w:rFonts w:eastAsiaTheme="minorHAnsi" w:cstheme="minorBidi"/>
          <w:szCs w:val="22"/>
        </w:rPr>
        <w:t>4,370,7</w:t>
      </w:r>
      <w:r w:rsidR="008A5749">
        <w:rPr>
          <w:rFonts w:eastAsiaTheme="minorHAnsi" w:cstheme="minorBidi"/>
          <w:szCs w:val="22"/>
        </w:rPr>
        <w:t>18</w:t>
      </w:r>
      <w:r w:rsidRPr="00F36BC1">
        <w:rPr>
          <w:rFonts w:eastAsiaTheme="minorHAnsi" w:cstheme="minorBidi"/>
          <w:szCs w:val="22"/>
        </w:rPr>
        <w:t xml:space="preserve"> (3,547,500 + 823,2</w:t>
      </w:r>
      <w:r w:rsidR="0079534E">
        <w:rPr>
          <w:rFonts w:eastAsiaTheme="minorHAnsi" w:cstheme="minorBidi"/>
          <w:szCs w:val="22"/>
        </w:rPr>
        <w:t>18</w:t>
      </w:r>
      <w:r w:rsidRPr="00F36BC1">
        <w:rPr>
          <w:rFonts w:eastAsiaTheme="minorHAnsi" w:cstheme="minorBidi"/>
          <w:szCs w:val="22"/>
        </w:rPr>
        <w:t xml:space="preserve">) gallons. </w:t>
      </w:r>
    </w:p>
    <w:p w14:paraId="4903F81F" w14:textId="77777777" w:rsidR="004F5164" w:rsidRPr="00F36BC1" w:rsidRDefault="004F5164" w:rsidP="004F5164">
      <w:pPr>
        <w:jc w:val="both"/>
        <w:rPr>
          <w:rFonts w:eastAsiaTheme="minorHAnsi" w:cstheme="minorBidi"/>
          <w:szCs w:val="22"/>
        </w:rPr>
      </w:pPr>
    </w:p>
    <w:p w14:paraId="7CAEA4EF" w14:textId="1C80E610" w:rsidR="00555E72" w:rsidRPr="00555E72" w:rsidRDefault="004F5164" w:rsidP="004F5164">
      <w:pPr>
        <w:jc w:val="both"/>
        <w:rPr>
          <w:rFonts w:ascii="Arial" w:hAnsi="Arial" w:cs="Arial"/>
          <w:b/>
          <w:bCs/>
          <w:i/>
          <w:iCs/>
          <w:vanish/>
          <w:szCs w:val="28"/>
        </w:rPr>
      </w:pPr>
      <w:r w:rsidRPr="00F36BC1">
        <w:rPr>
          <w:rFonts w:eastAsiaTheme="minorHAnsi" w:cstheme="minorBidi"/>
          <w:szCs w:val="22"/>
        </w:rPr>
        <w:t xml:space="preserve">Finally, the Utility was approved for a price index rate adjustment outside of the test year effective June 13, 2025. Therefore, staff annualized test year operating revenues by </w:t>
      </w:r>
      <w:r w:rsidRPr="00F36BC1">
        <w:rPr>
          <w:rFonts w:eastAsiaTheme="minorHAnsi"/>
          <w:szCs w:val="22"/>
        </w:rPr>
        <w:t xml:space="preserve">applying the adjusted number of billing determinants to the rates effective June 13, 2025. </w:t>
      </w:r>
      <w:r w:rsidRPr="00F36BC1">
        <w:rPr>
          <w:rFonts w:eastAsiaTheme="minorHAnsi" w:cstheme="minorBidi"/>
          <w:szCs w:val="22"/>
        </w:rPr>
        <w:t>As a result, staff determined test year service revenues should be $134,638 for water. This results in an increase to service revenues of $26,637 ($134,638</w:t>
      </w:r>
      <w:r w:rsidR="009A519B">
        <w:rPr>
          <w:rFonts w:eastAsiaTheme="minorHAnsi" w:cstheme="minorBidi"/>
          <w:szCs w:val="22"/>
        </w:rPr>
        <w:t xml:space="preserve"> </w:t>
      </w:r>
      <w:r w:rsidRPr="00F36BC1">
        <w:rPr>
          <w:rFonts w:eastAsiaTheme="minorHAnsi" w:cstheme="minorBidi"/>
          <w:szCs w:val="22"/>
        </w:rPr>
        <w:t>-</w:t>
      </w:r>
      <w:r w:rsidR="009A519B">
        <w:rPr>
          <w:rFonts w:eastAsiaTheme="minorHAnsi" w:cstheme="minorBidi"/>
          <w:szCs w:val="22"/>
        </w:rPr>
        <w:t xml:space="preserve"> $</w:t>
      </w:r>
      <w:r w:rsidRPr="00F36BC1">
        <w:rPr>
          <w:rFonts w:eastAsiaTheme="minorHAnsi" w:cstheme="minorBidi"/>
          <w:szCs w:val="22"/>
        </w:rPr>
        <w:t>108,001) for water. Based on the above, the appropriate test year operating revenues for Sunlake Estates’ water system are $134,638.</w:t>
      </w:r>
    </w:p>
    <w:p w14:paraId="023A8A20" w14:textId="1AD18D8C" w:rsidR="002C4F65" w:rsidRPr="00555E72" w:rsidRDefault="002C4F65" w:rsidP="002C4F65">
      <w:pPr>
        <w:spacing w:after="240"/>
        <w:jc w:val="both"/>
        <w:outlineLvl w:val="1"/>
        <w:rPr>
          <w:bCs/>
          <w:iCs/>
          <w:szCs w:val="28"/>
        </w:rPr>
      </w:pPr>
    </w:p>
    <w:bookmarkEnd w:id="32"/>
    <w:p w14:paraId="560E10B2" w14:textId="1648CF04" w:rsidR="00555E72" w:rsidRPr="00555E72" w:rsidRDefault="00555E72" w:rsidP="00555E72">
      <w:pPr>
        <w:jc w:val="both"/>
        <w:rPr>
          <w:bCs/>
          <w:iCs/>
          <w:szCs w:val="28"/>
        </w:rPr>
      </w:pPr>
    </w:p>
    <w:p w14:paraId="74A35620" w14:textId="77777777" w:rsidR="00555E72" w:rsidRPr="00555E72" w:rsidRDefault="00555E72" w:rsidP="00555E72">
      <w:pPr>
        <w:spacing w:after="240"/>
        <w:jc w:val="both"/>
      </w:pPr>
    </w:p>
    <w:p w14:paraId="6BA51BF4" w14:textId="13AB2D7C" w:rsidR="00C05CAF" w:rsidRPr="00875D78" w:rsidRDefault="00555E72" w:rsidP="00C05CAF">
      <w:pPr>
        <w:pStyle w:val="IssueHeading"/>
        <w:rPr>
          <w:vanish/>
          <w:specVanish/>
        </w:rPr>
      </w:pPr>
      <w:r w:rsidRPr="00555E72">
        <w:br w:type="page"/>
        <w:t>Issue</w:t>
      </w:r>
      <w:r w:rsidRPr="00555E72">
        <w:rPr>
          <w:noProof/>
        </w:rPr>
        <w:t xml:space="preserv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7</w:t>
      </w:r>
      <w:r w:rsidR="00C8514D" w:rsidRPr="00C8514D">
        <w:rPr>
          <w:noProof/>
        </w:rPr>
        <w:fldChar w:fldCharType="end"/>
      </w:r>
      <w:r w:rsidRPr="00555E72">
        <w:rPr>
          <w:noProof/>
        </w:rPr>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36" w:name="_Toc224892269"/>
      <w:bookmarkStart w:id="37" w:name="_Toc231452275"/>
      <w:r w:rsidR="00AD1D97">
        <w:rPr>
          <w:noProof/>
        </w:rPr>
        <w:instrText>7</w:instrText>
      </w:r>
      <w:r w:rsidRPr="00555E72">
        <w:rPr>
          <w:b w:val="0"/>
          <w:bCs w:val="0"/>
          <w:i w:val="0"/>
        </w:rPr>
        <w:fldChar w:fldCharType="end"/>
      </w:r>
      <w:r w:rsidRPr="00555E72">
        <w:tab/>
        <w:instrText>Operating Ratio Methodology</w:instrText>
      </w:r>
      <w:bookmarkEnd w:id="36"/>
      <w:bookmarkEnd w:id="37"/>
      <w:r w:rsidRPr="00555E72">
        <w:instrText xml:space="preserve">" \l 1 </w:instrText>
      </w:r>
      <w:r w:rsidRPr="00555E72">
        <w:rPr>
          <w:b w:val="0"/>
          <w:bCs w:val="0"/>
          <w:i w:val="0"/>
        </w:rPr>
        <w:fldChar w:fldCharType="end"/>
      </w:r>
      <w:r w:rsidR="00C05CAF" w:rsidRPr="00555E72">
        <w:t> </w:t>
      </w:r>
    </w:p>
    <w:p w14:paraId="05DE8974" w14:textId="4F0CFFF8" w:rsidR="007D7227" w:rsidRPr="00C05CAF" w:rsidRDefault="00C05CAF" w:rsidP="002C4F65">
      <w:pPr>
        <w:spacing w:after="240"/>
        <w:jc w:val="both"/>
        <w:outlineLvl w:val="0"/>
      </w:pPr>
      <w:r w:rsidRPr="00555E72">
        <w:rPr>
          <w:rFonts w:ascii="Arial" w:hAnsi="Arial" w:cs="Arial"/>
          <w:b/>
          <w:bCs/>
          <w:i/>
          <w:kern w:val="32"/>
          <w:szCs w:val="32"/>
        </w:rPr>
        <w:t> </w:t>
      </w:r>
      <w:r w:rsidR="002C4F65" w:rsidRPr="00555E72">
        <w:t>What are the appropriate operating expenses for Sunlake Estates Utilities, L.L.C.?</w:t>
      </w:r>
    </w:p>
    <w:p w14:paraId="11A9B77D" w14:textId="4917036D"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073E0A10" w14:textId="36F0F640" w:rsidR="00555E72" w:rsidRPr="00555E72" w:rsidRDefault="00C05CAF" w:rsidP="00C05CAF">
      <w:pPr>
        <w:spacing w:after="240"/>
        <w:jc w:val="both"/>
        <w:outlineLvl w:val="0"/>
      </w:pPr>
      <w:r w:rsidRPr="00555E72">
        <w:rPr>
          <w:rFonts w:ascii="Arial" w:hAnsi="Arial" w:cs="Arial"/>
          <w:b/>
          <w:bCs/>
          <w:i/>
          <w:kern w:val="32"/>
          <w:szCs w:val="32"/>
        </w:rPr>
        <w:t> </w:t>
      </w:r>
      <w:r w:rsidR="002C4F65" w:rsidRPr="00555E72">
        <w:t xml:space="preserve">The appropriate operating expenses for Sunlake are </w:t>
      </w:r>
      <w:r w:rsidR="004C59B9">
        <w:t>$160,038</w:t>
      </w:r>
      <w:r w:rsidR="002C4F65" w:rsidRPr="00555E72">
        <w:t>. (Lenberg)</w:t>
      </w:r>
    </w:p>
    <w:p w14:paraId="1BBBA0DD" w14:textId="3E01EF01"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1F813D85" w14:textId="0816FDD4" w:rsidR="002C4F65" w:rsidRPr="00555E72" w:rsidRDefault="00086203" w:rsidP="00086203">
      <w:pPr>
        <w:spacing w:after="240"/>
        <w:jc w:val="both"/>
      </w:pPr>
      <w:r w:rsidRPr="00555E72">
        <w:rPr>
          <w:rFonts w:ascii="Arial" w:hAnsi="Arial" w:cs="Arial"/>
          <w:b/>
          <w:bCs/>
          <w:i/>
          <w:kern w:val="32"/>
          <w:szCs w:val="32"/>
        </w:rPr>
        <w:t> </w:t>
      </w:r>
      <w:r w:rsidR="002C4F65" w:rsidRPr="00555E72">
        <w:t>The Utility recorded operating expenses of $183,940. The test year expenses have been reviewed by staff, including invoices and other supporting documentation. Staff has made several adjustments to the Utility’s operating expenses as described below.</w:t>
      </w:r>
    </w:p>
    <w:p w14:paraId="3C21CF37" w14:textId="77777777" w:rsidR="002C4F65" w:rsidRPr="00555E72" w:rsidRDefault="002C4F65" w:rsidP="002C4F65">
      <w:pPr>
        <w:spacing w:after="240"/>
        <w:jc w:val="both"/>
        <w:outlineLvl w:val="2"/>
        <w:rPr>
          <w:rFonts w:ascii="Arial" w:hAnsi="Arial" w:cs="Arial"/>
          <w:b/>
          <w:bCs/>
          <w:iCs/>
          <w:szCs w:val="28"/>
        </w:rPr>
      </w:pPr>
      <w:r w:rsidRPr="00555E72">
        <w:rPr>
          <w:rFonts w:ascii="Arial" w:hAnsi="Arial" w:cs="Arial"/>
          <w:b/>
          <w:bCs/>
          <w:iCs/>
          <w:szCs w:val="28"/>
        </w:rPr>
        <w:t>Operation and Maintenance Expenses</w:t>
      </w:r>
    </w:p>
    <w:p w14:paraId="78174ECA" w14:textId="77777777" w:rsidR="002C4F65" w:rsidRPr="000D05DA" w:rsidRDefault="002C4F65" w:rsidP="002C4F65">
      <w:pPr>
        <w:ind w:firstLine="720"/>
        <w:jc w:val="both"/>
        <w:rPr>
          <w:rFonts w:ascii="Arial" w:hAnsi="Arial" w:cs="Arial"/>
          <w:b/>
          <w:i/>
          <w:iCs/>
        </w:rPr>
      </w:pPr>
      <w:r w:rsidRPr="000D05DA">
        <w:rPr>
          <w:rFonts w:ascii="Arial" w:hAnsi="Arial" w:cs="Arial"/>
          <w:b/>
          <w:i/>
          <w:iCs/>
        </w:rPr>
        <w:t>Salaries and Wages – Employees (601)</w:t>
      </w:r>
    </w:p>
    <w:p w14:paraId="3136851C" w14:textId="098B4245" w:rsidR="002C4F65" w:rsidRPr="00555E72" w:rsidRDefault="002C4F65" w:rsidP="002C4F65">
      <w:pPr>
        <w:spacing w:after="240"/>
        <w:jc w:val="both"/>
        <w:rPr>
          <w:bCs/>
          <w:iCs/>
          <w:szCs w:val="28"/>
        </w:rPr>
      </w:pPr>
      <w:r w:rsidRPr="00555E72">
        <w:rPr>
          <w:bCs/>
          <w:iCs/>
          <w:szCs w:val="28"/>
        </w:rPr>
        <w:t xml:space="preserve">The Utility recorded a salaries and wages expense of </w:t>
      </w:r>
      <w:r w:rsidRPr="00555E72">
        <w:t>$9,643</w:t>
      </w:r>
      <w:r w:rsidRPr="00555E72">
        <w:rPr>
          <w:bCs/>
          <w:iCs/>
          <w:szCs w:val="28"/>
        </w:rPr>
        <w:t>, which included payroll tax</w:t>
      </w:r>
      <w:r w:rsidR="00F17284">
        <w:rPr>
          <w:bCs/>
          <w:iCs/>
          <w:szCs w:val="28"/>
        </w:rPr>
        <w:t>es</w:t>
      </w:r>
      <w:r w:rsidRPr="00555E72">
        <w:rPr>
          <w:bCs/>
          <w:iCs/>
          <w:szCs w:val="28"/>
        </w:rPr>
        <w:t xml:space="preserve">. Staff decreased this amount by </w:t>
      </w:r>
      <w:r w:rsidRPr="00555E72">
        <w:t xml:space="preserve">$655 </w:t>
      </w:r>
      <w:r w:rsidRPr="00555E72">
        <w:rPr>
          <w:bCs/>
          <w:iCs/>
          <w:szCs w:val="28"/>
        </w:rPr>
        <w:t xml:space="preserve">to reclassify payroll taxes to Taxes Other Than Income (TOTI) and to reflect an audit adjustment. Therefore, staff recommends a salaries and wages expense of </w:t>
      </w:r>
      <w:r w:rsidRPr="00555E72">
        <w:t>$8,988</w:t>
      </w:r>
      <w:r w:rsidRPr="00555E72">
        <w:rPr>
          <w:bCs/>
          <w:iCs/>
          <w:szCs w:val="28"/>
        </w:rPr>
        <w:t>.</w:t>
      </w:r>
    </w:p>
    <w:p w14:paraId="139D420A" w14:textId="77777777" w:rsidR="002C4F65" w:rsidRPr="000D05DA" w:rsidRDefault="002C4F65" w:rsidP="002C4F65">
      <w:pPr>
        <w:ind w:firstLine="720"/>
        <w:jc w:val="both"/>
        <w:rPr>
          <w:rFonts w:ascii="Arial" w:hAnsi="Arial" w:cs="Arial"/>
          <w:b/>
          <w:i/>
          <w:iCs/>
        </w:rPr>
      </w:pPr>
      <w:r w:rsidRPr="000D05DA">
        <w:rPr>
          <w:rFonts w:ascii="Arial" w:hAnsi="Arial" w:cs="Arial"/>
          <w:b/>
          <w:i/>
          <w:iCs/>
        </w:rPr>
        <w:t>Purchased Power (615)</w:t>
      </w:r>
    </w:p>
    <w:p w14:paraId="12FB3C52" w14:textId="77777777" w:rsidR="002C4F65" w:rsidRPr="00555E72" w:rsidRDefault="002C4F65" w:rsidP="002C4F65">
      <w:pPr>
        <w:spacing w:after="240"/>
        <w:jc w:val="both"/>
        <w:rPr>
          <w:bCs/>
          <w:iCs/>
          <w:szCs w:val="28"/>
        </w:rPr>
      </w:pPr>
      <w:r w:rsidRPr="00555E72">
        <w:rPr>
          <w:bCs/>
          <w:iCs/>
          <w:szCs w:val="28"/>
        </w:rPr>
        <w:t xml:space="preserve">The Utility recorded purchased power expense of </w:t>
      </w:r>
      <w:r w:rsidRPr="00555E72">
        <w:t>$9,239</w:t>
      </w:r>
      <w:r w:rsidRPr="00555E72">
        <w:rPr>
          <w:bCs/>
          <w:iCs/>
          <w:szCs w:val="28"/>
        </w:rPr>
        <w:t xml:space="preserve">. Staff increased this amount by </w:t>
      </w:r>
      <w:r w:rsidRPr="00555E72">
        <w:t xml:space="preserve">$545 </w:t>
      </w:r>
      <w:r w:rsidRPr="00555E72">
        <w:rPr>
          <w:bCs/>
          <w:iCs/>
          <w:szCs w:val="28"/>
        </w:rPr>
        <w:t xml:space="preserve">to reflect an audit adjustment based on invoices and the appropriate allocation for the test year provided by the Utility. </w:t>
      </w:r>
    </w:p>
    <w:p w14:paraId="4B45E297" w14:textId="501D3FF8" w:rsidR="002C4F65" w:rsidRPr="00555E72" w:rsidRDefault="002C4F65" w:rsidP="002C4F65">
      <w:pPr>
        <w:spacing w:after="240"/>
        <w:jc w:val="both"/>
        <w:rPr>
          <w:bCs/>
          <w:iCs/>
          <w:szCs w:val="28"/>
        </w:rPr>
      </w:pPr>
      <w:r w:rsidRPr="00555E72">
        <w:rPr>
          <w:bCs/>
          <w:iCs/>
          <w:szCs w:val="28"/>
        </w:rPr>
        <w:t xml:space="preserve">As discussed in Issue 3, EUW is </w:t>
      </w:r>
      <w:r>
        <w:rPr>
          <w:bCs/>
          <w:iCs/>
          <w:szCs w:val="28"/>
        </w:rPr>
        <w:t>11.78</w:t>
      </w:r>
      <w:r w:rsidRPr="00555E72">
        <w:rPr>
          <w:bCs/>
          <w:iCs/>
          <w:szCs w:val="28"/>
        </w:rPr>
        <w:t xml:space="preserve"> percent. Staff </w:t>
      </w:r>
      <w:r>
        <w:rPr>
          <w:bCs/>
          <w:iCs/>
          <w:szCs w:val="28"/>
        </w:rPr>
        <w:t>decreased purchased power by $1,088 to reflect EUW. Staff’s net adjustment to purchased power results in a decrease of $543. Ther</w:t>
      </w:r>
      <w:r w:rsidR="00B45108">
        <w:rPr>
          <w:bCs/>
          <w:iCs/>
          <w:szCs w:val="28"/>
        </w:rPr>
        <w:t>e</w:t>
      </w:r>
      <w:r>
        <w:rPr>
          <w:bCs/>
          <w:iCs/>
          <w:szCs w:val="28"/>
        </w:rPr>
        <w:t>fore, staff recommends a purchased power expense of $8,696.</w:t>
      </w:r>
    </w:p>
    <w:p w14:paraId="53129BA9" w14:textId="77777777" w:rsidR="002C4F65" w:rsidRPr="000D05DA" w:rsidRDefault="002C4F65" w:rsidP="002C4F65">
      <w:pPr>
        <w:ind w:firstLine="720"/>
        <w:rPr>
          <w:rFonts w:ascii="Arial" w:hAnsi="Arial" w:cs="Arial"/>
          <w:b/>
          <w:i/>
          <w:iCs/>
        </w:rPr>
      </w:pPr>
      <w:r w:rsidRPr="000D05DA">
        <w:rPr>
          <w:rFonts w:ascii="Arial" w:hAnsi="Arial" w:cs="Arial"/>
          <w:b/>
          <w:i/>
          <w:iCs/>
        </w:rPr>
        <w:t>Fuel for Power Production (616)</w:t>
      </w:r>
    </w:p>
    <w:p w14:paraId="0BEA9650" w14:textId="6AD21F47" w:rsidR="002C4F65" w:rsidRPr="00555E72" w:rsidRDefault="002C4F65" w:rsidP="002C4F65">
      <w:pPr>
        <w:jc w:val="both"/>
        <w:rPr>
          <w:bCs/>
          <w:iCs/>
          <w:szCs w:val="28"/>
        </w:rPr>
      </w:pPr>
      <w:r w:rsidRPr="00555E72">
        <w:rPr>
          <w:bCs/>
          <w:iCs/>
          <w:szCs w:val="28"/>
        </w:rPr>
        <w:t xml:space="preserve">The Utility did not record fuel for power production expense. Staff increased this amount by </w:t>
      </w:r>
      <w:r w:rsidRPr="00555E72">
        <w:t>$2,206</w:t>
      </w:r>
      <w:r w:rsidRPr="00555E72">
        <w:rPr>
          <w:bCs/>
          <w:iCs/>
          <w:szCs w:val="28"/>
        </w:rPr>
        <w:t xml:space="preserve"> to reflect an audit adjustment </w:t>
      </w:r>
      <w:r w:rsidR="007F43CF">
        <w:rPr>
          <w:bCs/>
          <w:iCs/>
          <w:szCs w:val="28"/>
        </w:rPr>
        <w:t>a</w:t>
      </w:r>
      <w:r w:rsidR="00B05987">
        <w:rPr>
          <w:bCs/>
          <w:iCs/>
          <w:szCs w:val="28"/>
        </w:rPr>
        <w:t>s well as</w:t>
      </w:r>
      <w:r w:rsidRPr="00555E72">
        <w:rPr>
          <w:bCs/>
          <w:iCs/>
          <w:szCs w:val="28"/>
        </w:rPr>
        <w:t xml:space="preserve"> the reclassification of generator fuel expense</w:t>
      </w:r>
      <w:r w:rsidR="00B05987">
        <w:rPr>
          <w:bCs/>
          <w:iCs/>
          <w:szCs w:val="28"/>
        </w:rPr>
        <w:t xml:space="preserve"> </w:t>
      </w:r>
      <w:r w:rsidR="004F5164">
        <w:rPr>
          <w:bCs/>
          <w:iCs/>
          <w:szCs w:val="28"/>
        </w:rPr>
        <w:t xml:space="preserve">in the amount </w:t>
      </w:r>
      <w:r w:rsidR="00B05987">
        <w:rPr>
          <w:bCs/>
          <w:iCs/>
          <w:szCs w:val="28"/>
        </w:rPr>
        <w:t xml:space="preserve">of $1,103 </w:t>
      </w:r>
      <w:r w:rsidR="00F60337">
        <w:rPr>
          <w:bCs/>
          <w:iCs/>
          <w:szCs w:val="28"/>
        </w:rPr>
        <w:t xml:space="preserve">from </w:t>
      </w:r>
      <w:r w:rsidR="00B05987">
        <w:rPr>
          <w:bCs/>
          <w:iCs/>
          <w:szCs w:val="28"/>
        </w:rPr>
        <w:t>Account 650 – Transportation Expense</w:t>
      </w:r>
      <w:r w:rsidRPr="00555E72">
        <w:rPr>
          <w:bCs/>
          <w:iCs/>
          <w:szCs w:val="28"/>
        </w:rPr>
        <w:t xml:space="preserve">. Therefore, staff recommends a fuel for power production expense of $2,206. </w:t>
      </w:r>
    </w:p>
    <w:p w14:paraId="41952E77" w14:textId="77777777" w:rsidR="002C4F65" w:rsidRPr="00555E72" w:rsidRDefault="002C4F65" w:rsidP="002C4F65">
      <w:pPr>
        <w:rPr>
          <w:bCs/>
          <w:iCs/>
          <w:szCs w:val="28"/>
        </w:rPr>
      </w:pPr>
    </w:p>
    <w:p w14:paraId="132455F0" w14:textId="77777777" w:rsidR="002C4F65" w:rsidRPr="000D05DA" w:rsidRDefault="002C4F65" w:rsidP="002C4F65">
      <w:pPr>
        <w:ind w:firstLine="720"/>
        <w:rPr>
          <w:rFonts w:ascii="Arial" w:hAnsi="Arial" w:cs="Arial"/>
          <w:b/>
          <w:i/>
          <w:iCs/>
        </w:rPr>
      </w:pPr>
      <w:r w:rsidRPr="000D05DA">
        <w:rPr>
          <w:rFonts w:ascii="Arial" w:hAnsi="Arial" w:cs="Arial"/>
          <w:b/>
          <w:i/>
          <w:iCs/>
        </w:rPr>
        <w:t>Contractual Services – Billing (630)</w:t>
      </w:r>
    </w:p>
    <w:p w14:paraId="74018F55" w14:textId="77777777" w:rsidR="002C4F65" w:rsidRPr="00555E72" w:rsidRDefault="002C4F65" w:rsidP="002C4F65">
      <w:pPr>
        <w:spacing w:after="240"/>
        <w:jc w:val="both"/>
        <w:rPr>
          <w:bCs/>
          <w:iCs/>
          <w:szCs w:val="28"/>
        </w:rPr>
      </w:pPr>
      <w:r w:rsidRPr="00555E72">
        <w:rPr>
          <w:bCs/>
          <w:iCs/>
          <w:szCs w:val="28"/>
        </w:rPr>
        <w:t xml:space="preserve">The Utility recorded contractual services – billing expense of </w:t>
      </w:r>
      <w:r w:rsidRPr="00555E72">
        <w:t>$4,028</w:t>
      </w:r>
      <w:r w:rsidRPr="00555E72">
        <w:rPr>
          <w:bCs/>
          <w:iCs/>
          <w:szCs w:val="28"/>
        </w:rPr>
        <w:t xml:space="preserve">. Staff made no adjustments to this amount. Therefore, staff recommends a contractual services – billing expense of </w:t>
      </w:r>
      <w:r w:rsidRPr="00555E72">
        <w:t>$4,028</w:t>
      </w:r>
      <w:r w:rsidRPr="00555E72">
        <w:rPr>
          <w:bCs/>
          <w:iCs/>
          <w:szCs w:val="28"/>
        </w:rPr>
        <w:t>.</w:t>
      </w:r>
    </w:p>
    <w:p w14:paraId="7AE4A417" w14:textId="77777777" w:rsidR="002C4F65" w:rsidRPr="000D05DA" w:rsidRDefault="002C4F65" w:rsidP="002C4F65">
      <w:pPr>
        <w:ind w:firstLine="720"/>
        <w:rPr>
          <w:rFonts w:ascii="Arial" w:hAnsi="Arial" w:cs="Arial"/>
          <w:b/>
          <w:i/>
          <w:iCs/>
        </w:rPr>
      </w:pPr>
      <w:r w:rsidRPr="000D05DA">
        <w:rPr>
          <w:rFonts w:ascii="Arial" w:hAnsi="Arial" w:cs="Arial"/>
          <w:b/>
          <w:i/>
          <w:iCs/>
        </w:rPr>
        <w:t>Contractual Services – Professional (631)</w:t>
      </w:r>
    </w:p>
    <w:p w14:paraId="3077FC12" w14:textId="4D56E27D" w:rsidR="002C4F65" w:rsidRDefault="002C4F65" w:rsidP="002C4F65">
      <w:pPr>
        <w:spacing w:after="240"/>
        <w:jc w:val="both"/>
        <w:rPr>
          <w:bCs/>
          <w:iCs/>
          <w:szCs w:val="28"/>
        </w:rPr>
      </w:pPr>
      <w:r w:rsidRPr="00555E72">
        <w:rPr>
          <w:bCs/>
          <w:iCs/>
          <w:szCs w:val="28"/>
        </w:rPr>
        <w:t xml:space="preserve">The Utility recorded contractual services – professional expense of </w:t>
      </w:r>
      <w:r w:rsidRPr="00555E72">
        <w:t>$42,373</w:t>
      </w:r>
      <w:r w:rsidRPr="00555E72">
        <w:rPr>
          <w:bCs/>
          <w:iCs/>
          <w:szCs w:val="28"/>
        </w:rPr>
        <w:t xml:space="preserve">. Audit staff decreased this amount by </w:t>
      </w:r>
      <w:r w:rsidRPr="00555E72">
        <w:t xml:space="preserve">$6,207 </w:t>
      </w:r>
      <w:r w:rsidRPr="00555E72">
        <w:rPr>
          <w:bCs/>
          <w:iCs/>
          <w:szCs w:val="28"/>
        </w:rPr>
        <w:t xml:space="preserve">to reclassify legal expenses to Account 633 – Contractual Services - Legal. Staff increased this amount by </w:t>
      </w:r>
      <w:r w:rsidRPr="00555E72">
        <w:t>$1,170</w:t>
      </w:r>
      <w:r w:rsidRPr="00555E72">
        <w:rPr>
          <w:bCs/>
          <w:iCs/>
          <w:szCs w:val="28"/>
        </w:rPr>
        <w:t xml:space="preserve"> to reflect an increase in </w:t>
      </w:r>
      <w:r>
        <w:rPr>
          <w:bCs/>
          <w:iCs/>
          <w:szCs w:val="28"/>
        </w:rPr>
        <w:t>contracted operator costs</w:t>
      </w:r>
      <w:r w:rsidRPr="00555E72">
        <w:rPr>
          <w:bCs/>
          <w:iCs/>
          <w:szCs w:val="28"/>
        </w:rPr>
        <w:t xml:space="preserve">. Staff further increased this amount by </w:t>
      </w:r>
      <w:r>
        <w:t>$1,818</w:t>
      </w:r>
      <w:r w:rsidRPr="00555E72">
        <w:t xml:space="preserve"> </w:t>
      </w:r>
      <w:r w:rsidRPr="00555E72">
        <w:rPr>
          <w:bCs/>
          <w:iCs/>
          <w:szCs w:val="28"/>
        </w:rPr>
        <w:t>to reclassify</w:t>
      </w:r>
      <w:r>
        <w:rPr>
          <w:bCs/>
          <w:iCs/>
          <w:szCs w:val="28"/>
        </w:rPr>
        <w:t xml:space="preserve"> and properly allocate</w:t>
      </w:r>
      <w:r w:rsidRPr="00555E72">
        <w:rPr>
          <w:bCs/>
          <w:iCs/>
          <w:szCs w:val="28"/>
        </w:rPr>
        <w:t xml:space="preserve"> Environmental Protection Agency (EPA) expenses that had been inappropriately recorded in Account 633 – Contractual Services </w:t>
      </w:r>
      <w:r>
        <w:rPr>
          <w:bCs/>
          <w:iCs/>
          <w:szCs w:val="28"/>
        </w:rPr>
        <w:t xml:space="preserve">– </w:t>
      </w:r>
      <w:r w:rsidRPr="00555E72">
        <w:rPr>
          <w:bCs/>
          <w:iCs/>
          <w:szCs w:val="28"/>
        </w:rPr>
        <w:t>Legal</w:t>
      </w:r>
      <w:r>
        <w:rPr>
          <w:bCs/>
          <w:iCs/>
          <w:szCs w:val="28"/>
        </w:rPr>
        <w:t>, and not allocated between the water and wastewater system</w:t>
      </w:r>
      <w:r w:rsidR="00611C73">
        <w:rPr>
          <w:bCs/>
          <w:iCs/>
          <w:szCs w:val="28"/>
        </w:rPr>
        <w:t>s</w:t>
      </w:r>
      <w:r w:rsidRPr="00555E72">
        <w:rPr>
          <w:bCs/>
          <w:iCs/>
          <w:szCs w:val="28"/>
        </w:rPr>
        <w:t xml:space="preserve">. </w:t>
      </w:r>
    </w:p>
    <w:p w14:paraId="060DFFCE" w14:textId="77777777" w:rsidR="002C4F65" w:rsidRDefault="002C4F65" w:rsidP="002C4F65">
      <w:pPr>
        <w:spacing w:after="240"/>
        <w:jc w:val="both"/>
        <w:rPr>
          <w:bCs/>
          <w:iCs/>
          <w:szCs w:val="28"/>
        </w:rPr>
      </w:pPr>
      <w:r w:rsidRPr="00555E72">
        <w:rPr>
          <w:bCs/>
          <w:iCs/>
          <w:szCs w:val="28"/>
        </w:rPr>
        <w:t xml:space="preserve">As discussed in Issue 3, EUW is </w:t>
      </w:r>
      <w:r>
        <w:rPr>
          <w:bCs/>
          <w:iCs/>
          <w:szCs w:val="28"/>
        </w:rPr>
        <w:t>11.78</w:t>
      </w:r>
      <w:r w:rsidRPr="00555E72">
        <w:rPr>
          <w:bCs/>
          <w:iCs/>
          <w:szCs w:val="28"/>
        </w:rPr>
        <w:t xml:space="preserve"> percent.</w:t>
      </w:r>
      <w:r>
        <w:rPr>
          <w:bCs/>
          <w:iCs/>
          <w:szCs w:val="28"/>
        </w:rPr>
        <w:t xml:space="preserve"> </w:t>
      </w:r>
      <w:r w:rsidRPr="00550706">
        <w:rPr>
          <w:bCs/>
          <w:iCs/>
          <w:szCs w:val="28"/>
        </w:rPr>
        <w:t>During the test year, Sunlake contracted with General Utilities to provide water treatment services, including the supply of treatment chemicals.</w:t>
      </w:r>
      <w:r>
        <w:rPr>
          <w:bCs/>
          <w:iCs/>
          <w:szCs w:val="28"/>
        </w:rPr>
        <w:t xml:space="preserve"> Staff reviewed supporting documentation and determined that chemical expense was $5,912, resulting in an EUW adjustment of $696. Therefore, staff decreased </w:t>
      </w:r>
      <w:r w:rsidRPr="00555E72">
        <w:rPr>
          <w:bCs/>
          <w:iCs/>
          <w:szCs w:val="28"/>
        </w:rPr>
        <w:t>contractual services – professional expense</w:t>
      </w:r>
      <w:r>
        <w:rPr>
          <w:bCs/>
          <w:iCs/>
          <w:szCs w:val="28"/>
        </w:rPr>
        <w:t xml:space="preserve"> by $696.</w:t>
      </w:r>
    </w:p>
    <w:p w14:paraId="621B3D54" w14:textId="77777777" w:rsidR="002C4F65" w:rsidRPr="00555E72" w:rsidRDefault="002C4F65" w:rsidP="002C4F65">
      <w:pPr>
        <w:spacing w:after="240"/>
        <w:jc w:val="both"/>
        <w:rPr>
          <w:bCs/>
          <w:iCs/>
          <w:szCs w:val="28"/>
        </w:rPr>
      </w:pPr>
      <w:r w:rsidRPr="00555E72">
        <w:rPr>
          <w:bCs/>
          <w:iCs/>
          <w:szCs w:val="28"/>
        </w:rPr>
        <w:t xml:space="preserve">Staff’s net adjustment to contractual services – professional expense results in a decrease of </w:t>
      </w:r>
      <w:r w:rsidRPr="00555E72">
        <w:t>$</w:t>
      </w:r>
      <w:r>
        <w:t>3,915</w:t>
      </w:r>
      <w:r w:rsidRPr="00555E72">
        <w:t>.</w:t>
      </w:r>
      <w:r w:rsidRPr="00555E72">
        <w:rPr>
          <w:bCs/>
          <w:iCs/>
          <w:szCs w:val="28"/>
        </w:rPr>
        <w:t xml:space="preserve"> Therefore, staff recommends a contractual services – professional expense of </w:t>
      </w:r>
      <w:r w:rsidRPr="00555E72">
        <w:t>$</w:t>
      </w:r>
      <w:r>
        <w:t>38,458</w:t>
      </w:r>
      <w:r w:rsidRPr="00555E72">
        <w:rPr>
          <w:bCs/>
          <w:iCs/>
          <w:szCs w:val="28"/>
        </w:rPr>
        <w:t>.</w:t>
      </w:r>
    </w:p>
    <w:p w14:paraId="4A0CA1E5" w14:textId="77777777" w:rsidR="002C4F65" w:rsidRPr="000D05DA" w:rsidRDefault="002C4F65" w:rsidP="002C4F65">
      <w:pPr>
        <w:ind w:firstLine="720"/>
        <w:rPr>
          <w:rFonts w:ascii="Arial" w:hAnsi="Arial" w:cs="Arial"/>
          <w:b/>
          <w:i/>
          <w:iCs/>
        </w:rPr>
      </w:pPr>
      <w:r w:rsidRPr="000D05DA">
        <w:rPr>
          <w:rFonts w:ascii="Arial" w:hAnsi="Arial" w:cs="Arial"/>
          <w:b/>
          <w:i/>
          <w:iCs/>
        </w:rPr>
        <w:t>Contractual Services – Accounting (632)</w:t>
      </w:r>
    </w:p>
    <w:p w14:paraId="61ABBAFC" w14:textId="095ED2FE" w:rsidR="002C4F65" w:rsidRPr="00555E72" w:rsidRDefault="002C4F65" w:rsidP="002C4F65">
      <w:pPr>
        <w:spacing w:after="240"/>
        <w:jc w:val="both"/>
        <w:outlineLvl w:val="0"/>
        <w:rPr>
          <w:bCs/>
          <w:iCs/>
          <w:szCs w:val="28"/>
        </w:rPr>
      </w:pPr>
      <w:r w:rsidRPr="00555E72">
        <w:rPr>
          <w:bCs/>
          <w:iCs/>
          <w:szCs w:val="28"/>
        </w:rPr>
        <w:t xml:space="preserve">The Utility did not record contractual services – accounting expense. The Utility requested recovery of a pro forma accounting consulting expense to ensure compliance with the </w:t>
      </w:r>
      <w:r w:rsidR="0018358D">
        <w:rPr>
          <w:bCs/>
          <w:iCs/>
          <w:szCs w:val="28"/>
        </w:rPr>
        <w:t>National Association of Regulatory Utility Commissioners</w:t>
      </w:r>
      <w:r w:rsidR="0018358D" w:rsidRPr="00555E72">
        <w:rPr>
          <w:bCs/>
          <w:iCs/>
          <w:szCs w:val="28"/>
        </w:rPr>
        <w:t xml:space="preserve"> </w:t>
      </w:r>
      <w:r w:rsidR="0018358D">
        <w:rPr>
          <w:bCs/>
          <w:iCs/>
          <w:szCs w:val="28"/>
        </w:rPr>
        <w:t>(</w:t>
      </w:r>
      <w:r w:rsidRPr="00555E72">
        <w:rPr>
          <w:bCs/>
          <w:iCs/>
          <w:szCs w:val="28"/>
        </w:rPr>
        <w:t>NARUC</w:t>
      </w:r>
      <w:r w:rsidR="0018358D">
        <w:rPr>
          <w:bCs/>
          <w:iCs/>
          <w:szCs w:val="28"/>
        </w:rPr>
        <w:t>)</w:t>
      </w:r>
      <w:r w:rsidRPr="00555E72">
        <w:rPr>
          <w:bCs/>
          <w:iCs/>
          <w:szCs w:val="28"/>
        </w:rPr>
        <w:t xml:space="preserve"> Uniform System of Accounts</w:t>
      </w:r>
      <w:r w:rsidR="0018358D">
        <w:rPr>
          <w:bCs/>
          <w:iCs/>
          <w:szCs w:val="28"/>
        </w:rPr>
        <w:t xml:space="preserve"> (USOA)</w:t>
      </w:r>
      <w:r w:rsidRPr="00555E72">
        <w:rPr>
          <w:bCs/>
          <w:iCs/>
          <w:szCs w:val="28"/>
        </w:rPr>
        <w:t>. This pro forma expense is a non-recurring cost, associated with the water and wastewater system</w:t>
      </w:r>
      <w:r w:rsidR="00B05987">
        <w:rPr>
          <w:bCs/>
          <w:iCs/>
          <w:szCs w:val="28"/>
        </w:rPr>
        <w:t>s</w:t>
      </w:r>
      <w:r w:rsidRPr="00555E72">
        <w:rPr>
          <w:bCs/>
          <w:iCs/>
          <w:szCs w:val="28"/>
        </w:rPr>
        <w:t>, with an invoice amount of $5,850. Pursuant to Rule 25-30.433(9), F.A.C., staff allocated half of this expense to water and amortized it over five years, resulting in an increase to the test year expense of $585. Therefore, staff recommends contractual service</w:t>
      </w:r>
      <w:r w:rsidR="00F17284">
        <w:rPr>
          <w:bCs/>
          <w:iCs/>
          <w:szCs w:val="28"/>
        </w:rPr>
        <w:t>s</w:t>
      </w:r>
      <w:r w:rsidRPr="00555E72">
        <w:rPr>
          <w:bCs/>
          <w:iCs/>
          <w:szCs w:val="28"/>
        </w:rPr>
        <w:t xml:space="preserve"> – accounting expense of $585.</w:t>
      </w:r>
    </w:p>
    <w:p w14:paraId="14314BDD" w14:textId="77777777" w:rsidR="002C4F65" w:rsidRPr="000D05DA" w:rsidRDefault="002C4F65" w:rsidP="002C4F65">
      <w:pPr>
        <w:ind w:firstLine="720"/>
        <w:rPr>
          <w:rFonts w:ascii="Arial" w:hAnsi="Arial" w:cs="Arial"/>
          <w:b/>
          <w:i/>
          <w:iCs/>
        </w:rPr>
      </w:pPr>
      <w:r w:rsidRPr="000D05DA">
        <w:rPr>
          <w:rFonts w:ascii="Arial" w:hAnsi="Arial" w:cs="Arial"/>
          <w:b/>
          <w:i/>
          <w:iCs/>
        </w:rPr>
        <w:t>Contractual Services – Legal (633)</w:t>
      </w:r>
    </w:p>
    <w:p w14:paraId="4238097E" w14:textId="77777777" w:rsidR="002C4F65" w:rsidRPr="00555E72" w:rsidRDefault="002C4F65" w:rsidP="002C4F65">
      <w:pPr>
        <w:spacing w:after="240"/>
        <w:jc w:val="both"/>
        <w:rPr>
          <w:bCs/>
          <w:iCs/>
          <w:szCs w:val="28"/>
        </w:rPr>
      </w:pPr>
      <w:r w:rsidRPr="00555E72">
        <w:rPr>
          <w:iCs/>
          <w:szCs w:val="28"/>
        </w:rPr>
        <w:t xml:space="preserve">The Utility did not record contractual services – legal expense. Audit staff increased this amount by </w:t>
      </w:r>
      <w:r w:rsidRPr="00555E72">
        <w:t xml:space="preserve">$12,247 </w:t>
      </w:r>
      <w:r w:rsidRPr="00555E72">
        <w:rPr>
          <w:iCs/>
          <w:szCs w:val="28"/>
        </w:rPr>
        <w:t xml:space="preserve">to reclassify legal expenses that were not properly recorded. Staff decreased this amount by </w:t>
      </w:r>
      <w:r w:rsidRPr="00555E72">
        <w:t xml:space="preserve">$3,637 </w:t>
      </w:r>
      <w:r w:rsidRPr="00555E72">
        <w:rPr>
          <w:iCs/>
          <w:szCs w:val="28"/>
        </w:rPr>
        <w:t xml:space="preserve">to reclassify EPA expenses to </w:t>
      </w:r>
      <w:r w:rsidRPr="00555E72">
        <w:rPr>
          <w:bCs/>
          <w:iCs/>
          <w:szCs w:val="28"/>
        </w:rPr>
        <w:t xml:space="preserve">Account 631 – Contractual Services – Professional. Additionally, staff decreased this amount by $6,092 to reflect the removal of legal expenses related to the Utility’s 2023 SARC. Staff’s net adjustment to contractual services – legal expense results in an increase of </w:t>
      </w:r>
      <w:r w:rsidRPr="00555E72">
        <w:t>$2,518</w:t>
      </w:r>
      <w:r w:rsidRPr="00555E72">
        <w:rPr>
          <w:bCs/>
          <w:iCs/>
          <w:szCs w:val="28"/>
        </w:rPr>
        <w:t xml:space="preserve">. Therefore, staff recommends a contractual services – legal expense of </w:t>
      </w:r>
      <w:r w:rsidRPr="00555E72">
        <w:t>$2,518</w:t>
      </w:r>
      <w:r w:rsidRPr="00555E72">
        <w:rPr>
          <w:bCs/>
          <w:iCs/>
          <w:szCs w:val="28"/>
        </w:rPr>
        <w:t>.</w:t>
      </w:r>
    </w:p>
    <w:p w14:paraId="7AD1070E" w14:textId="77777777" w:rsidR="002C4F65" w:rsidRPr="000D05DA" w:rsidRDefault="002C4F65" w:rsidP="002C4F65">
      <w:pPr>
        <w:ind w:firstLine="720"/>
        <w:rPr>
          <w:rFonts w:ascii="Arial" w:hAnsi="Arial" w:cs="Arial"/>
          <w:b/>
          <w:i/>
          <w:iCs/>
        </w:rPr>
      </w:pPr>
      <w:r w:rsidRPr="000D05DA">
        <w:rPr>
          <w:rFonts w:ascii="Arial" w:hAnsi="Arial" w:cs="Arial"/>
          <w:b/>
          <w:i/>
          <w:iCs/>
        </w:rPr>
        <w:t>Contractual Services – Other (636)</w:t>
      </w:r>
    </w:p>
    <w:p w14:paraId="40088D96" w14:textId="77777777" w:rsidR="002C4F65" w:rsidRPr="00555E72" w:rsidRDefault="002C4F65" w:rsidP="002C4F65">
      <w:pPr>
        <w:spacing w:after="200"/>
        <w:jc w:val="both"/>
        <w:rPr>
          <w:rFonts w:eastAsiaTheme="minorHAnsi" w:cstheme="minorBidi"/>
          <w:szCs w:val="22"/>
        </w:rPr>
      </w:pPr>
      <w:r w:rsidRPr="00555E72">
        <w:rPr>
          <w:rFonts w:eastAsiaTheme="minorHAnsi" w:cstheme="minorBidi"/>
          <w:szCs w:val="22"/>
        </w:rPr>
        <w:t xml:space="preserve">The Utility recorded contractual services – other expense of $76,288. Audit staff decreased this amount by $75,378 to capitalize expenses that had been recorded in this account. In response to the Audit Report, the Utility filed a letter indicating that the work performed that </w:t>
      </w:r>
      <w:r>
        <w:rPr>
          <w:rFonts w:eastAsiaTheme="minorHAnsi" w:cstheme="minorBidi"/>
          <w:szCs w:val="22"/>
        </w:rPr>
        <w:t>was</w:t>
      </w:r>
      <w:r w:rsidRPr="00555E72">
        <w:rPr>
          <w:rFonts w:eastAsiaTheme="minorHAnsi" w:cstheme="minorBidi"/>
          <w:szCs w:val="22"/>
        </w:rPr>
        <w:t xml:space="preserve"> capitalized by audit staff “are examples of maintenance and routine repairs, and part of the Utility’s ongoing cost of service, the Utility offers that these costs were properly categorized as operating expenses.”</w:t>
      </w:r>
      <w:r w:rsidRPr="00555E72">
        <w:rPr>
          <w:rFonts w:eastAsiaTheme="minorHAnsi" w:cstheme="minorBidi"/>
          <w:szCs w:val="22"/>
          <w:vertAlign w:val="superscript"/>
        </w:rPr>
        <w:footnoteReference w:id="23"/>
      </w:r>
    </w:p>
    <w:p w14:paraId="232C83BE" w14:textId="77777777" w:rsidR="002C4F65" w:rsidRPr="00555E72" w:rsidRDefault="002C4F65" w:rsidP="002C4F65">
      <w:pPr>
        <w:spacing w:after="200"/>
        <w:jc w:val="both"/>
        <w:rPr>
          <w:rFonts w:eastAsiaTheme="minorHAnsi" w:cstheme="minorBidi"/>
          <w:szCs w:val="22"/>
        </w:rPr>
      </w:pPr>
      <w:r w:rsidRPr="00555E72">
        <w:rPr>
          <w:rFonts w:eastAsiaTheme="minorHAnsi" w:cstheme="minorBidi"/>
          <w:szCs w:val="22"/>
        </w:rPr>
        <w:t>Staff agrees these costs should be expensed; however, staff does not believe the test year is representative of a typical year. The Utility further noted that “[t]he 2024 cost is approximately three to five times as much as cost incurred in other years.”</w:t>
      </w:r>
      <w:r>
        <w:rPr>
          <w:rStyle w:val="FootnoteReference"/>
          <w:rFonts w:eastAsiaTheme="minorHAnsi" w:cstheme="minorBidi"/>
          <w:szCs w:val="22"/>
        </w:rPr>
        <w:footnoteReference w:id="24"/>
      </w:r>
      <w:r w:rsidRPr="00555E72">
        <w:rPr>
          <w:rFonts w:eastAsiaTheme="minorHAnsi" w:cstheme="minorBidi"/>
          <w:szCs w:val="22"/>
        </w:rPr>
        <w:t xml:space="preserve"> Therefore, staff determined a baseline contractual services – other expense using a five-year average based on the Utility’s Annual Reports from 2019 through 2023, which resulted in an increase of $36,094.</w:t>
      </w:r>
    </w:p>
    <w:p w14:paraId="7DC6D81A" w14:textId="77777777" w:rsidR="002C4F65" w:rsidRPr="00555E72" w:rsidRDefault="002C4F65" w:rsidP="002C4F65">
      <w:pPr>
        <w:spacing w:after="200"/>
        <w:jc w:val="both"/>
        <w:rPr>
          <w:rFonts w:eastAsiaTheme="minorHAnsi" w:cstheme="minorBidi"/>
          <w:szCs w:val="22"/>
        </w:rPr>
      </w:pPr>
      <w:r w:rsidRPr="00555E72">
        <w:rPr>
          <w:rFonts w:eastAsiaTheme="minorHAnsi" w:cstheme="minorBidi"/>
          <w:szCs w:val="22"/>
        </w:rPr>
        <w:t>Additionally, staff increased this account by $7,857 to reflect the difference between the five-year average and the Utility’s appropriate test year balance for this account, amortized over five years, to spread the impact of unusually high costs incurred during the test year.</w:t>
      </w:r>
    </w:p>
    <w:p w14:paraId="275D4C62" w14:textId="47E097DD" w:rsidR="002C4F65" w:rsidRPr="00555E72" w:rsidRDefault="002C4F65" w:rsidP="002C4F65">
      <w:pPr>
        <w:spacing w:after="200"/>
        <w:jc w:val="both"/>
        <w:rPr>
          <w:rFonts w:eastAsiaTheme="minorHAnsi" w:cstheme="minorBidi"/>
          <w:szCs w:val="22"/>
        </w:rPr>
      </w:pPr>
      <w:r w:rsidRPr="00555E72">
        <w:rPr>
          <w:rFonts w:eastAsiaTheme="minorHAnsi" w:cstheme="minorBidi"/>
          <w:szCs w:val="22"/>
        </w:rPr>
        <w:t>Staff’s net adjustment to contractual services – other expense results in a decrease of $31,427. Therefore, staff recommends a contractual services – other expense of $44,861.</w:t>
      </w:r>
    </w:p>
    <w:p w14:paraId="414814BB" w14:textId="77777777" w:rsidR="002C4F65" w:rsidRPr="000D05DA" w:rsidRDefault="002C4F65" w:rsidP="002C4F65">
      <w:pPr>
        <w:ind w:firstLine="720"/>
        <w:rPr>
          <w:rFonts w:ascii="Arial" w:hAnsi="Arial" w:cs="Arial"/>
          <w:b/>
          <w:i/>
          <w:iCs/>
        </w:rPr>
      </w:pPr>
      <w:r w:rsidRPr="000D05DA">
        <w:rPr>
          <w:rFonts w:ascii="Arial" w:hAnsi="Arial" w:cs="Arial"/>
          <w:b/>
          <w:i/>
          <w:iCs/>
        </w:rPr>
        <w:t>Transportation Expense (650)</w:t>
      </w:r>
    </w:p>
    <w:p w14:paraId="05502E91" w14:textId="673F6EB6" w:rsidR="002C4F65" w:rsidRPr="00555E72" w:rsidRDefault="002C4F65" w:rsidP="002C4F65">
      <w:pPr>
        <w:spacing w:after="240"/>
        <w:jc w:val="both"/>
        <w:rPr>
          <w:iCs/>
          <w:szCs w:val="28"/>
        </w:rPr>
      </w:pPr>
      <w:r w:rsidRPr="00555E72">
        <w:rPr>
          <w:iCs/>
          <w:szCs w:val="28"/>
        </w:rPr>
        <w:t xml:space="preserve">The Utility recorded transportation expense of $1,103. Audit staff decreased this </w:t>
      </w:r>
      <w:r w:rsidR="0050620E">
        <w:rPr>
          <w:iCs/>
          <w:szCs w:val="28"/>
        </w:rPr>
        <w:t>amount</w:t>
      </w:r>
      <w:r w:rsidRPr="00555E72">
        <w:rPr>
          <w:iCs/>
          <w:szCs w:val="28"/>
        </w:rPr>
        <w:t xml:space="preserve"> by </w:t>
      </w:r>
      <w:r w:rsidRPr="00555E72">
        <w:t>$1,103</w:t>
      </w:r>
      <w:r w:rsidRPr="00555E72">
        <w:rPr>
          <w:iCs/>
          <w:szCs w:val="28"/>
        </w:rPr>
        <w:t xml:space="preserve"> to reclassify generator fuel expense to Account 616 – Fuel for Power Production. Therefore, staff does not recommend a transportation expense.</w:t>
      </w:r>
    </w:p>
    <w:p w14:paraId="701721FA" w14:textId="77777777" w:rsidR="002C4F65" w:rsidRPr="000D05DA" w:rsidRDefault="002C4F65" w:rsidP="002C4F65">
      <w:pPr>
        <w:ind w:firstLine="720"/>
        <w:rPr>
          <w:rFonts w:ascii="Arial" w:hAnsi="Arial" w:cs="Arial"/>
          <w:b/>
          <w:i/>
          <w:iCs/>
        </w:rPr>
      </w:pPr>
      <w:r w:rsidRPr="000D05DA">
        <w:rPr>
          <w:rFonts w:ascii="Arial" w:hAnsi="Arial" w:cs="Arial"/>
          <w:b/>
          <w:i/>
          <w:iCs/>
        </w:rPr>
        <w:t>Rate Case Expense (665)</w:t>
      </w:r>
    </w:p>
    <w:p w14:paraId="427F6197" w14:textId="77777777" w:rsidR="002C4F65" w:rsidRPr="00D33DAF" w:rsidRDefault="002C4F65" w:rsidP="002C4F65">
      <w:pPr>
        <w:spacing w:after="240"/>
        <w:jc w:val="both"/>
        <w:outlineLvl w:val="0"/>
        <w:rPr>
          <w:iCs/>
          <w:szCs w:val="28"/>
        </w:rPr>
      </w:pPr>
      <w:r w:rsidRPr="00555E72">
        <w:rPr>
          <w:iCs/>
          <w:szCs w:val="28"/>
        </w:rPr>
        <w:t>The Utility did not record any rate case expense for this docket. The Utility is required by Rule 25-22.0407, F.A.C., to mail notices of the rate case overview, final rates, and four-year rate reduction. Staff calculated noticing costs to be $1,6</w:t>
      </w:r>
      <w:r>
        <w:rPr>
          <w:iCs/>
          <w:szCs w:val="28"/>
        </w:rPr>
        <w:t>30</w:t>
      </w:r>
      <w:r w:rsidRPr="00555E72">
        <w:rPr>
          <w:iCs/>
          <w:szCs w:val="28"/>
        </w:rPr>
        <w:t>.</w:t>
      </w:r>
    </w:p>
    <w:p w14:paraId="2BCFBBBE" w14:textId="6076A743" w:rsidR="002C4F65" w:rsidRDefault="002C4F65" w:rsidP="002C4F65">
      <w:pPr>
        <w:spacing w:after="240"/>
        <w:jc w:val="both"/>
      </w:pPr>
      <w:r w:rsidRPr="00555E72">
        <w:t xml:space="preserve">Staff calculated the distance from the Utility office in Grand Island, Florida, to Tallahassee as 222 miles. Based on the 2026 Internal Revenue Service (IRS) business mileage rate of $0.725, staff calculated round trip travel and lodging expense to the Commission Conference of $522. </w:t>
      </w:r>
      <w:r w:rsidR="00574BB9">
        <w:t>T</w:t>
      </w:r>
      <w:r w:rsidRPr="00555E72">
        <w:t xml:space="preserve">he Utility </w:t>
      </w:r>
      <w:r w:rsidR="00B87A07">
        <w:t xml:space="preserve">also </w:t>
      </w:r>
      <w:r w:rsidRPr="00555E72">
        <w:t>paid a filing fee of $1,000.</w:t>
      </w:r>
    </w:p>
    <w:p w14:paraId="5B62325A" w14:textId="557F5EE9" w:rsidR="002C4F65" w:rsidRDefault="002C4F65" w:rsidP="002C4F65">
      <w:pPr>
        <w:spacing w:after="240"/>
        <w:jc w:val="both"/>
      </w:pPr>
      <w:r w:rsidRPr="00941886">
        <w:rPr>
          <w:rFonts w:eastAsiaTheme="minorHAnsi" w:cstheme="minorBidi"/>
          <w:szCs w:val="22"/>
        </w:rPr>
        <w:t xml:space="preserve">Under Section 367.0814(3), F.S., </w:t>
      </w:r>
      <w:r w:rsidR="004F5164">
        <w:rPr>
          <w:rFonts w:eastAsiaTheme="minorHAnsi" w:cstheme="minorBidi"/>
          <w:szCs w:val="22"/>
        </w:rPr>
        <w:t>t</w:t>
      </w:r>
      <w:r w:rsidR="00B05987">
        <w:rPr>
          <w:rFonts w:eastAsiaTheme="minorHAnsi" w:cstheme="minorBidi"/>
          <w:szCs w:val="22"/>
        </w:rPr>
        <w:t>he Commission</w:t>
      </w:r>
      <w:r w:rsidR="00B05987" w:rsidRPr="00941886">
        <w:rPr>
          <w:rFonts w:eastAsiaTheme="minorHAnsi" w:cstheme="minorBidi"/>
          <w:szCs w:val="22"/>
        </w:rPr>
        <w:t xml:space="preserve"> </w:t>
      </w:r>
      <w:r w:rsidRPr="00941886">
        <w:rPr>
          <w:rFonts w:eastAsiaTheme="minorHAnsi" w:cstheme="minorBidi"/>
          <w:szCs w:val="22"/>
        </w:rPr>
        <w:t xml:space="preserve">may </w:t>
      </w:r>
      <w:r w:rsidR="00B05987">
        <w:rPr>
          <w:rFonts w:eastAsiaTheme="minorHAnsi" w:cstheme="minorBidi"/>
          <w:szCs w:val="22"/>
        </w:rPr>
        <w:t>grant</w:t>
      </w:r>
      <w:r w:rsidR="00B05987" w:rsidRPr="00941886">
        <w:rPr>
          <w:rFonts w:eastAsiaTheme="minorHAnsi" w:cstheme="minorBidi"/>
          <w:szCs w:val="22"/>
        </w:rPr>
        <w:t xml:space="preserve"> </w:t>
      </w:r>
      <w:r w:rsidRPr="00941886">
        <w:rPr>
          <w:rFonts w:eastAsiaTheme="minorHAnsi" w:cstheme="minorBidi"/>
          <w:szCs w:val="22"/>
        </w:rPr>
        <w:t>rate case expense for attorney fees or</w:t>
      </w:r>
      <w:r>
        <w:rPr>
          <w:rFonts w:eastAsiaTheme="minorHAnsi" w:cstheme="minorBidi"/>
          <w:szCs w:val="22"/>
        </w:rPr>
        <w:t xml:space="preserve"> </w:t>
      </w:r>
      <w:r w:rsidRPr="00941886">
        <w:rPr>
          <w:rFonts w:eastAsiaTheme="minorHAnsi" w:cstheme="minorBidi"/>
          <w:szCs w:val="22"/>
        </w:rPr>
        <w:t xml:space="preserve">fees of other outside consultants after the initial staff report. On </w:t>
      </w:r>
      <w:r>
        <w:rPr>
          <w:rFonts w:eastAsiaTheme="minorHAnsi" w:cstheme="minorBidi"/>
          <w:szCs w:val="22"/>
        </w:rPr>
        <w:t>June</w:t>
      </w:r>
      <w:r w:rsidRPr="00941886">
        <w:rPr>
          <w:rFonts w:eastAsiaTheme="minorHAnsi" w:cstheme="minorBidi"/>
          <w:szCs w:val="22"/>
        </w:rPr>
        <w:t xml:space="preserve"> </w:t>
      </w:r>
      <w:r>
        <w:rPr>
          <w:rFonts w:eastAsiaTheme="minorHAnsi" w:cstheme="minorBidi"/>
          <w:szCs w:val="22"/>
        </w:rPr>
        <w:t>2</w:t>
      </w:r>
      <w:r w:rsidRPr="00941886">
        <w:rPr>
          <w:rFonts w:eastAsiaTheme="minorHAnsi" w:cstheme="minorBidi"/>
          <w:szCs w:val="22"/>
        </w:rPr>
        <w:t>3, 2026, the Utility</w:t>
      </w:r>
      <w:r>
        <w:rPr>
          <w:rFonts w:eastAsiaTheme="minorHAnsi" w:cstheme="minorBidi"/>
          <w:szCs w:val="22"/>
        </w:rPr>
        <w:t xml:space="preserve"> </w:t>
      </w:r>
      <w:r w:rsidRPr="00941886">
        <w:rPr>
          <w:rFonts w:eastAsiaTheme="minorHAnsi" w:cstheme="minorBidi"/>
          <w:szCs w:val="22"/>
        </w:rPr>
        <w:t xml:space="preserve">provided documentation to support </w:t>
      </w:r>
      <w:r>
        <w:rPr>
          <w:rFonts w:eastAsiaTheme="minorHAnsi" w:cstheme="minorBidi"/>
          <w:szCs w:val="22"/>
        </w:rPr>
        <w:t>$9,594</w:t>
      </w:r>
      <w:r w:rsidRPr="00941886">
        <w:rPr>
          <w:rFonts w:eastAsiaTheme="minorHAnsi" w:cstheme="minorBidi"/>
          <w:szCs w:val="22"/>
        </w:rPr>
        <w:t xml:space="preserve"> in additional rate case expenses, including legal</w:t>
      </w:r>
      <w:r>
        <w:rPr>
          <w:rFonts w:eastAsiaTheme="minorHAnsi" w:cstheme="minorBidi"/>
          <w:szCs w:val="22"/>
        </w:rPr>
        <w:t xml:space="preserve"> </w:t>
      </w:r>
      <w:r w:rsidRPr="00941886">
        <w:rPr>
          <w:rFonts w:eastAsiaTheme="minorHAnsi" w:cstheme="minorBidi"/>
          <w:szCs w:val="22"/>
        </w:rPr>
        <w:t>expenses and consulting fees incurred to date and estimated through the end of the PAA process.</w:t>
      </w:r>
      <w:r w:rsidR="00342C85">
        <w:rPr>
          <w:rStyle w:val="FootnoteReference"/>
          <w:rFonts w:eastAsiaTheme="minorHAnsi" w:cstheme="minorBidi"/>
          <w:szCs w:val="22"/>
        </w:rPr>
        <w:footnoteReference w:id="25"/>
      </w:r>
    </w:p>
    <w:p w14:paraId="533931E5" w14:textId="3C1C4189" w:rsidR="00F17284" w:rsidRDefault="002C4F65" w:rsidP="00AD4584">
      <w:pPr>
        <w:spacing w:after="240"/>
        <w:jc w:val="both"/>
        <w:rPr>
          <w:rFonts w:eastAsiaTheme="minorHAnsi" w:cstheme="minorBidi"/>
          <w:szCs w:val="22"/>
        </w:rPr>
      </w:pPr>
      <w:r w:rsidRPr="00FE13CC">
        <w:rPr>
          <w:rFonts w:eastAsiaTheme="minorHAnsi" w:cstheme="minorBidi"/>
          <w:szCs w:val="22"/>
        </w:rPr>
        <w:t xml:space="preserve">Staff reviewed the supporting documentation and found that the requested attorney hourly rate of $695 is approximately 24 percent higher than the $560 hourly rate </w:t>
      </w:r>
      <w:r>
        <w:rPr>
          <w:rFonts w:eastAsiaTheme="minorHAnsi" w:cstheme="minorBidi"/>
          <w:szCs w:val="22"/>
        </w:rPr>
        <w:t>recently</w:t>
      </w:r>
      <w:r w:rsidRPr="00FE13CC">
        <w:rPr>
          <w:rFonts w:eastAsiaTheme="minorHAnsi" w:cstheme="minorBidi"/>
          <w:szCs w:val="22"/>
        </w:rPr>
        <w:t xml:space="preserve"> approved by the Commission for </w:t>
      </w:r>
      <w:r w:rsidR="00B05987">
        <w:rPr>
          <w:rFonts w:eastAsiaTheme="minorHAnsi" w:cstheme="minorBidi"/>
          <w:szCs w:val="22"/>
        </w:rPr>
        <w:t>Jones Walker</w:t>
      </w:r>
      <w:r w:rsidR="00207493">
        <w:rPr>
          <w:rFonts w:eastAsiaTheme="minorHAnsi" w:cstheme="minorBidi"/>
          <w:szCs w:val="22"/>
        </w:rPr>
        <w:t>’s associated legal fees</w:t>
      </w:r>
      <w:r w:rsidRPr="00FE13CC">
        <w:rPr>
          <w:rFonts w:eastAsiaTheme="minorHAnsi" w:cstheme="minorBidi"/>
          <w:szCs w:val="22"/>
        </w:rPr>
        <w:t xml:space="preserve"> in the GCP Plantation, Gulfstream, and Water Oak SARC proceedings involving Sun Communities.</w:t>
      </w:r>
      <w:r>
        <w:rPr>
          <w:rStyle w:val="FootnoteReference"/>
          <w:rFonts w:eastAsiaTheme="minorHAnsi" w:cstheme="minorBidi"/>
          <w:szCs w:val="22"/>
        </w:rPr>
        <w:footnoteReference w:id="26"/>
      </w:r>
      <w:r w:rsidRPr="00FE13CC">
        <w:rPr>
          <w:rFonts w:eastAsiaTheme="minorHAnsi" w:cstheme="minorBidi"/>
          <w:szCs w:val="22"/>
        </w:rPr>
        <w:t xml:space="preserve"> </w:t>
      </w:r>
    </w:p>
    <w:p w14:paraId="24390AE5" w14:textId="7006679C" w:rsidR="00AD4584" w:rsidRDefault="0024268D" w:rsidP="00AD4584">
      <w:pPr>
        <w:spacing w:after="240"/>
        <w:jc w:val="both"/>
        <w:rPr>
          <w:rFonts w:eastAsiaTheme="minorHAnsi" w:cstheme="minorBidi"/>
          <w:szCs w:val="22"/>
        </w:rPr>
      </w:pPr>
      <w:r>
        <w:rPr>
          <w:rFonts w:eastAsiaTheme="minorHAnsi" w:cstheme="minorBidi"/>
          <w:szCs w:val="22"/>
        </w:rPr>
        <w:t>Although</w:t>
      </w:r>
      <w:r w:rsidRPr="00FE13CC">
        <w:rPr>
          <w:rFonts w:eastAsiaTheme="minorHAnsi" w:cstheme="minorBidi"/>
          <w:szCs w:val="22"/>
        </w:rPr>
        <w:t xml:space="preserve"> </w:t>
      </w:r>
      <w:r w:rsidR="00207493">
        <w:rPr>
          <w:rFonts w:eastAsiaTheme="minorHAnsi" w:cstheme="minorBidi"/>
          <w:szCs w:val="22"/>
        </w:rPr>
        <w:t>Jones Walker</w:t>
      </w:r>
      <w:r w:rsidRPr="00FE13CC">
        <w:rPr>
          <w:rFonts w:eastAsiaTheme="minorHAnsi" w:cstheme="minorBidi"/>
          <w:szCs w:val="22"/>
        </w:rPr>
        <w:t xml:space="preserve"> stated that </w:t>
      </w:r>
      <w:r w:rsidR="00207493">
        <w:rPr>
          <w:rFonts w:eastAsiaTheme="minorHAnsi" w:cstheme="minorBidi"/>
          <w:szCs w:val="22"/>
        </w:rPr>
        <w:t>their</w:t>
      </w:r>
      <w:r w:rsidR="00207493" w:rsidRPr="00FE13CC">
        <w:rPr>
          <w:rFonts w:eastAsiaTheme="minorHAnsi" w:cstheme="minorBidi"/>
          <w:szCs w:val="22"/>
        </w:rPr>
        <w:t xml:space="preserve"> </w:t>
      </w:r>
      <w:r w:rsidRPr="00FE13CC">
        <w:rPr>
          <w:rFonts w:eastAsiaTheme="minorHAnsi" w:cstheme="minorBidi"/>
          <w:szCs w:val="22"/>
        </w:rPr>
        <w:t xml:space="preserve">rates are </w:t>
      </w:r>
      <w:r>
        <w:rPr>
          <w:rFonts w:eastAsiaTheme="minorHAnsi" w:cstheme="minorBidi"/>
          <w:szCs w:val="22"/>
        </w:rPr>
        <w:t>based</w:t>
      </w:r>
      <w:r w:rsidRPr="00FE13CC">
        <w:rPr>
          <w:rFonts w:eastAsiaTheme="minorHAnsi" w:cstheme="minorBidi"/>
          <w:szCs w:val="22"/>
        </w:rPr>
        <w:t xml:space="preserve"> </w:t>
      </w:r>
      <w:r>
        <w:rPr>
          <w:rFonts w:eastAsiaTheme="minorHAnsi" w:cstheme="minorBidi"/>
          <w:szCs w:val="22"/>
        </w:rPr>
        <w:t xml:space="preserve">on </w:t>
      </w:r>
      <w:r w:rsidRPr="00FE13CC">
        <w:rPr>
          <w:rFonts w:eastAsiaTheme="minorHAnsi" w:cstheme="minorBidi"/>
          <w:szCs w:val="22"/>
        </w:rPr>
        <w:t>prevailing rates</w:t>
      </w:r>
      <w:r w:rsidR="00207493">
        <w:rPr>
          <w:rFonts w:eastAsiaTheme="minorHAnsi" w:cstheme="minorBidi"/>
          <w:szCs w:val="22"/>
        </w:rPr>
        <w:t xml:space="preserve"> for similar services,</w:t>
      </w:r>
      <w:r>
        <w:rPr>
          <w:rStyle w:val="FootnoteReference"/>
          <w:rFonts w:eastAsiaTheme="minorHAnsi" w:cstheme="minorBidi"/>
          <w:szCs w:val="22"/>
        </w:rPr>
        <w:footnoteReference w:id="27"/>
      </w:r>
      <w:r w:rsidR="004F5164">
        <w:rPr>
          <w:rFonts w:eastAsiaTheme="minorHAnsi" w:cstheme="minorBidi"/>
          <w:szCs w:val="22"/>
        </w:rPr>
        <w:t xml:space="preserve"> </w:t>
      </w:r>
      <w:r w:rsidRPr="00FE13CC">
        <w:rPr>
          <w:rFonts w:eastAsiaTheme="minorHAnsi" w:cstheme="minorBidi"/>
          <w:szCs w:val="22"/>
        </w:rPr>
        <w:t>staff is not aware of the Commission approving a</w:t>
      </w:r>
      <w:r>
        <w:rPr>
          <w:rFonts w:eastAsiaTheme="minorHAnsi" w:cstheme="minorBidi"/>
          <w:szCs w:val="22"/>
        </w:rPr>
        <w:t xml:space="preserve"> </w:t>
      </w:r>
      <w:r w:rsidRPr="00FE13CC">
        <w:rPr>
          <w:rFonts w:eastAsiaTheme="minorHAnsi" w:cstheme="minorBidi"/>
          <w:szCs w:val="22"/>
        </w:rPr>
        <w:t xml:space="preserve">$695 hourly rate </w:t>
      </w:r>
      <w:r w:rsidR="00207493">
        <w:rPr>
          <w:rFonts w:eastAsiaTheme="minorHAnsi" w:cstheme="minorBidi"/>
          <w:szCs w:val="22"/>
        </w:rPr>
        <w:t xml:space="preserve">for attorneys </w:t>
      </w:r>
      <w:r w:rsidRPr="00FE13CC">
        <w:rPr>
          <w:rFonts w:eastAsiaTheme="minorHAnsi" w:cstheme="minorBidi"/>
          <w:szCs w:val="22"/>
        </w:rPr>
        <w:t>in a</w:t>
      </w:r>
      <w:r>
        <w:rPr>
          <w:rFonts w:eastAsiaTheme="minorHAnsi" w:cstheme="minorBidi"/>
          <w:szCs w:val="22"/>
        </w:rPr>
        <w:t>ny</w:t>
      </w:r>
      <w:r w:rsidRPr="00FE13CC">
        <w:rPr>
          <w:rFonts w:eastAsiaTheme="minorHAnsi" w:cstheme="minorBidi"/>
          <w:szCs w:val="22"/>
        </w:rPr>
        <w:t xml:space="preserve"> SARC proceeding. </w:t>
      </w:r>
      <w:r>
        <w:t>The average attorney hourly rate approved in two recent SARC proceedings was $465.</w:t>
      </w:r>
      <w:r>
        <w:rPr>
          <w:rStyle w:val="FootnoteReference"/>
          <w:rFonts w:eastAsiaTheme="minorHAnsi" w:cstheme="minorBidi"/>
          <w:szCs w:val="22"/>
        </w:rPr>
        <w:footnoteReference w:id="28"/>
      </w:r>
      <w:r>
        <w:t xml:space="preserve"> However, staff believes the most appropriate comparison is the $560 hourly rate recently approved for </w:t>
      </w:r>
      <w:r w:rsidR="00207493">
        <w:t>Jones Walker</w:t>
      </w:r>
      <w:r>
        <w:t xml:space="preserve"> in the GCP Plantation, Gulfstream, and Water Oak SARC proceedings involving Sun Communities.</w:t>
      </w:r>
      <w:r>
        <w:rPr>
          <w:rFonts w:eastAsiaTheme="minorHAnsi" w:cstheme="minorBidi"/>
          <w:szCs w:val="22"/>
        </w:rPr>
        <w:t xml:space="preserve"> </w:t>
      </w:r>
      <w:r w:rsidRPr="00FE13CC">
        <w:rPr>
          <w:rFonts w:eastAsiaTheme="minorHAnsi" w:cstheme="minorBidi"/>
          <w:szCs w:val="22"/>
        </w:rPr>
        <w:t xml:space="preserve">Therefore, staff recommends limiting </w:t>
      </w:r>
      <w:r w:rsidR="00207493">
        <w:rPr>
          <w:rFonts w:eastAsiaTheme="minorHAnsi" w:cstheme="minorBidi"/>
          <w:szCs w:val="22"/>
        </w:rPr>
        <w:t>the</w:t>
      </w:r>
      <w:r w:rsidRPr="00FE13CC">
        <w:rPr>
          <w:rFonts w:eastAsiaTheme="minorHAnsi" w:cstheme="minorBidi"/>
          <w:szCs w:val="22"/>
        </w:rPr>
        <w:t xml:space="preserve"> recoverable attorney hourly rate for the Sunlake SARC to $560 </w:t>
      </w:r>
      <w:r w:rsidR="00207493">
        <w:rPr>
          <w:rFonts w:eastAsiaTheme="minorHAnsi" w:cstheme="minorBidi"/>
          <w:szCs w:val="22"/>
        </w:rPr>
        <w:t xml:space="preserve">as </w:t>
      </w:r>
      <w:r>
        <w:rPr>
          <w:rFonts w:eastAsiaTheme="minorHAnsi" w:cstheme="minorBidi"/>
          <w:szCs w:val="22"/>
        </w:rPr>
        <w:t>to maintain consistency</w:t>
      </w:r>
      <w:r w:rsidRPr="00FE13CC">
        <w:rPr>
          <w:rFonts w:eastAsiaTheme="minorHAnsi" w:cstheme="minorBidi"/>
          <w:szCs w:val="22"/>
        </w:rPr>
        <w:t xml:space="preserve"> with </w:t>
      </w:r>
      <w:r>
        <w:rPr>
          <w:rFonts w:eastAsiaTheme="minorHAnsi" w:cstheme="minorBidi"/>
          <w:szCs w:val="22"/>
        </w:rPr>
        <w:t xml:space="preserve">the Commission’s </w:t>
      </w:r>
      <w:r w:rsidRPr="00FE13CC">
        <w:rPr>
          <w:rFonts w:eastAsiaTheme="minorHAnsi" w:cstheme="minorBidi"/>
          <w:szCs w:val="22"/>
        </w:rPr>
        <w:t xml:space="preserve">previously approved rates for </w:t>
      </w:r>
      <w:r>
        <w:rPr>
          <w:rFonts w:eastAsiaTheme="minorHAnsi" w:cstheme="minorBidi"/>
          <w:szCs w:val="22"/>
        </w:rPr>
        <w:t>proceedings involving Sun Communities.</w:t>
      </w:r>
      <w:r w:rsidR="00207493">
        <w:rPr>
          <w:rFonts w:eastAsiaTheme="minorHAnsi" w:cstheme="minorBidi"/>
          <w:szCs w:val="22"/>
        </w:rPr>
        <w:t xml:space="preserve"> This results in an adjustment of $743.</w:t>
      </w:r>
    </w:p>
    <w:p w14:paraId="5EB6A2ED" w14:textId="4923C3DF" w:rsidR="00574BB9" w:rsidRDefault="002C4F65" w:rsidP="00574BB9">
      <w:pPr>
        <w:spacing w:after="240"/>
        <w:jc w:val="both"/>
      </w:pPr>
      <w:r w:rsidRPr="00555E72">
        <w:t xml:space="preserve">Staff </w:t>
      </w:r>
      <w:r>
        <w:t>increased</w:t>
      </w:r>
      <w:r w:rsidRPr="00555E72">
        <w:t xml:space="preserve"> total rate case expense</w:t>
      </w:r>
      <w:r w:rsidR="00B04744">
        <w:t xml:space="preserve"> by</w:t>
      </w:r>
      <w:r w:rsidR="00B04744" w:rsidRPr="00555E72">
        <w:t xml:space="preserve"> $</w:t>
      </w:r>
      <w:r w:rsidR="00B04744">
        <w:t>12,746</w:t>
      </w:r>
      <w:r w:rsidRPr="00555E72">
        <w:t xml:space="preserve">, consisting of noticing costs, </w:t>
      </w:r>
      <w:r>
        <w:t xml:space="preserve">consulting fees, </w:t>
      </w:r>
      <w:r w:rsidRPr="00555E72">
        <w:t>travel and lodging expenses, and filing fee</w:t>
      </w:r>
      <w:r w:rsidR="00B04744">
        <w:t>. S</w:t>
      </w:r>
      <w:r w:rsidR="0071799F">
        <w:rPr>
          <w:rFonts w:eastAsiaTheme="minorHAnsi" w:cstheme="minorBidi"/>
          <w:szCs w:val="22"/>
        </w:rPr>
        <w:t>taff decreased this amount by $743 to reflect the attorney hourly rate</w:t>
      </w:r>
      <w:r w:rsidR="004F5164">
        <w:rPr>
          <w:rFonts w:eastAsiaTheme="minorHAnsi" w:cstheme="minorBidi"/>
          <w:szCs w:val="22"/>
        </w:rPr>
        <w:t xml:space="preserve"> adjustment</w:t>
      </w:r>
      <w:r w:rsidR="0071799F">
        <w:rPr>
          <w:rFonts w:eastAsiaTheme="minorHAnsi" w:cstheme="minorBidi"/>
          <w:szCs w:val="22"/>
        </w:rPr>
        <w:t>. This resulted in a</w:t>
      </w:r>
      <w:r w:rsidR="00FA368C">
        <w:rPr>
          <w:rFonts w:eastAsiaTheme="minorHAnsi" w:cstheme="minorBidi"/>
          <w:szCs w:val="22"/>
        </w:rPr>
        <w:t>n</w:t>
      </w:r>
      <w:r w:rsidR="0071799F">
        <w:rPr>
          <w:rFonts w:eastAsiaTheme="minorHAnsi" w:cstheme="minorBidi"/>
          <w:szCs w:val="22"/>
        </w:rPr>
        <w:t xml:space="preserve"> adjusted total rate case expense of $12,003, </w:t>
      </w:r>
      <w:r w:rsidRPr="00555E72">
        <w:t>which amortized over four years is $</w:t>
      </w:r>
      <w:r>
        <w:t>3,</w:t>
      </w:r>
      <w:r w:rsidR="0071799F">
        <w:t>001</w:t>
      </w:r>
      <w:r w:rsidRPr="00555E72">
        <w:t xml:space="preserve">. </w:t>
      </w:r>
      <w:r w:rsidR="00574BB9" w:rsidRPr="00574BB9">
        <w:t>Therefore, staff recommends a total recoverable rate case expense of $12,003, amortized over four years, resulting in annual rate case expense of $3,001</w:t>
      </w:r>
      <w:r w:rsidR="00574BB9">
        <w:t>.</w:t>
      </w:r>
    </w:p>
    <w:p w14:paraId="3758D603" w14:textId="77777777" w:rsidR="007A0E04" w:rsidRPr="000D05DA" w:rsidRDefault="002C4F65" w:rsidP="007A0E04">
      <w:pPr>
        <w:ind w:firstLine="720"/>
        <w:jc w:val="both"/>
        <w:rPr>
          <w:rFonts w:ascii="Arial" w:eastAsiaTheme="minorHAnsi" w:hAnsi="Arial" w:cs="Arial"/>
          <w:b/>
          <w:i/>
          <w:iCs/>
        </w:rPr>
      </w:pPr>
      <w:r w:rsidRPr="000D05DA">
        <w:rPr>
          <w:rFonts w:ascii="Arial" w:eastAsiaTheme="minorHAnsi" w:hAnsi="Arial" w:cs="Arial"/>
          <w:b/>
          <w:i/>
          <w:iCs/>
        </w:rPr>
        <w:t xml:space="preserve">Bad Debt (670) </w:t>
      </w:r>
    </w:p>
    <w:p w14:paraId="763720F7" w14:textId="50611469" w:rsidR="002C4F65" w:rsidRPr="007A0E04" w:rsidRDefault="002C4F65" w:rsidP="002C4F65">
      <w:pPr>
        <w:spacing w:after="240"/>
        <w:jc w:val="both"/>
        <w:rPr>
          <w:rFonts w:ascii="Arial" w:eastAsiaTheme="minorHAnsi" w:hAnsi="Arial" w:cs="Arial"/>
          <w:b/>
        </w:rPr>
      </w:pPr>
      <w:r w:rsidRPr="00555E72">
        <w:rPr>
          <w:rFonts w:eastAsiaTheme="minorHAnsi" w:cstheme="minorBidi"/>
        </w:rPr>
        <w:t>The Utility did not record any bad debt expense. In its three most recent Annual Reports (202</w:t>
      </w:r>
      <w:r w:rsidR="00A029A7">
        <w:rPr>
          <w:rFonts w:eastAsiaTheme="minorHAnsi" w:cstheme="minorBidi"/>
        </w:rPr>
        <w:t>3</w:t>
      </w:r>
      <w:r w:rsidRPr="00555E72">
        <w:rPr>
          <w:rFonts w:eastAsiaTheme="minorHAnsi" w:cstheme="minorBidi"/>
        </w:rPr>
        <w:t>, 202</w:t>
      </w:r>
      <w:r w:rsidR="00A029A7">
        <w:rPr>
          <w:rFonts w:eastAsiaTheme="minorHAnsi" w:cstheme="minorBidi"/>
        </w:rPr>
        <w:t>4</w:t>
      </w:r>
      <w:r w:rsidRPr="00555E72">
        <w:rPr>
          <w:rFonts w:eastAsiaTheme="minorHAnsi" w:cstheme="minorBidi"/>
        </w:rPr>
        <w:t>, and 202</w:t>
      </w:r>
      <w:r w:rsidR="00A029A7">
        <w:rPr>
          <w:rFonts w:eastAsiaTheme="minorHAnsi" w:cstheme="minorBidi"/>
        </w:rPr>
        <w:t>5</w:t>
      </w:r>
      <w:r w:rsidRPr="00555E72">
        <w:rPr>
          <w:rFonts w:eastAsiaTheme="minorHAnsi" w:cstheme="minorBidi"/>
        </w:rPr>
        <w:t>), the Utility reported bad debt expenses of $0 in all three years. In response to staff’s second data request, the Utility confirmed that this reporting accurately reflects its accounting records.</w:t>
      </w:r>
      <w:r w:rsidRPr="00555E72">
        <w:rPr>
          <w:rFonts w:eastAsiaTheme="minorHAnsi" w:cstheme="minorBidi"/>
          <w:vertAlign w:val="superscript"/>
        </w:rPr>
        <w:footnoteReference w:id="29"/>
      </w:r>
      <w:r w:rsidRPr="00555E72">
        <w:rPr>
          <w:rFonts w:eastAsiaTheme="minorHAnsi" w:cstheme="minorBidi"/>
        </w:rPr>
        <w:t xml:space="preserve"> The Utility has not recorded bad debt expense in the test year or in recent historical periods, thus, </w:t>
      </w:r>
      <w:r w:rsidRPr="00555E72">
        <w:rPr>
          <w:rFonts w:eastAsiaTheme="minorHAnsi"/>
        </w:rPr>
        <w:t>staff recommends a bad debt expense of $0.</w:t>
      </w:r>
    </w:p>
    <w:p w14:paraId="3BF8A6DB" w14:textId="77777777" w:rsidR="002C4F65" w:rsidRPr="00555E72" w:rsidRDefault="002C4F65" w:rsidP="002C4F65">
      <w:pPr>
        <w:jc w:val="both"/>
        <w:rPr>
          <w:rFonts w:ascii="Arial" w:hAnsi="Arial" w:cs="Arial"/>
          <w:b/>
        </w:rPr>
      </w:pPr>
      <w:r w:rsidRPr="00555E72">
        <w:rPr>
          <w:rFonts w:ascii="Arial" w:hAnsi="Arial" w:cs="Arial"/>
          <w:b/>
        </w:rPr>
        <w:t>Operation and Maintenance Expense Summary</w:t>
      </w:r>
    </w:p>
    <w:p w14:paraId="4D25F49A" w14:textId="1ADDC0F8" w:rsidR="002C4F65" w:rsidRPr="00555E72" w:rsidRDefault="002C4F65" w:rsidP="002C4F65">
      <w:pPr>
        <w:spacing w:after="240"/>
        <w:jc w:val="both"/>
      </w:pPr>
      <w:r w:rsidRPr="00555E72">
        <w:t>The Utility recorded test year O&amp;M expense of $142,674. Based on the above adjustments, staff recommends O&amp;M expense be decreased by $2</w:t>
      </w:r>
      <w:r>
        <w:t>9,</w:t>
      </w:r>
      <w:r w:rsidR="00B05987">
        <w:t>334</w:t>
      </w:r>
      <w:r w:rsidRPr="00555E72">
        <w:t>. This results in a total O&amp;M expense of $1</w:t>
      </w:r>
      <w:r>
        <w:t>1</w:t>
      </w:r>
      <w:r w:rsidR="00B05987">
        <w:t>3,340</w:t>
      </w:r>
      <w:r w:rsidRPr="00555E72">
        <w:t>. Staff’s recommended adjustments to O&amp;M are shown on Schedule No. 3-C.</w:t>
      </w:r>
    </w:p>
    <w:p w14:paraId="44259801" w14:textId="77777777" w:rsidR="002C4F65" w:rsidRPr="00555E72" w:rsidRDefault="002C4F65" w:rsidP="002C4F65">
      <w:pPr>
        <w:jc w:val="both"/>
        <w:rPr>
          <w:rFonts w:ascii="Arial" w:hAnsi="Arial" w:cs="Arial"/>
          <w:b/>
        </w:rPr>
      </w:pPr>
      <w:r w:rsidRPr="00555E72">
        <w:rPr>
          <w:rFonts w:ascii="Arial" w:hAnsi="Arial" w:cs="Arial"/>
          <w:b/>
        </w:rPr>
        <w:t>Depreciation Expense</w:t>
      </w:r>
    </w:p>
    <w:p w14:paraId="714532F4" w14:textId="77777777" w:rsidR="002C4F65" w:rsidRPr="00555E72" w:rsidRDefault="002C4F65" w:rsidP="002C4F65">
      <w:pPr>
        <w:jc w:val="both"/>
      </w:pPr>
      <w:r w:rsidRPr="00555E72">
        <w:t xml:space="preserve">The Utility recorded depreciation expense of $36,406. Based on the depreciation rates prescribed in Rule 25-30.140, F.A.C., audit staff decreased this amount by $4,581. Staff increased this amount by $261 to reflect pro forma additions and retirements. In addition, staff increased this amount by $673 to reflect the correct depreciation rates prescribed by the above-mentioned Rule and to reflect changes to UPIS. </w:t>
      </w:r>
    </w:p>
    <w:p w14:paraId="06C0BD9E" w14:textId="77777777" w:rsidR="002C4F65" w:rsidRPr="00555E72" w:rsidRDefault="002C4F65" w:rsidP="002C4F65">
      <w:pPr>
        <w:jc w:val="both"/>
      </w:pPr>
    </w:p>
    <w:p w14:paraId="2B371D5B" w14:textId="5E39C0DD" w:rsidR="002C4F65" w:rsidRPr="00555E72" w:rsidRDefault="002C4F65" w:rsidP="002C4F65">
      <w:pPr>
        <w:spacing w:after="240"/>
        <w:jc w:val="both"/>
      </w:pPr>
      <w:r w:rsidRPr="00555E72">
        <w:t xml:space="preserve">Staff’s net adjustments to depreciation expense result in a decrease of $3,647. Therefore, staff recommends </w:t>
      </w:r>
      <w:r w:rsidR="00451814">
        <w:t xml:space="preserve">a </w:t>
      </w:r>
      <w:r w:rsidRPr="00555E72">
        <w:t>depreciation expense of $32,759.</w:t>
      </w:r>
    </w:p>
    <w:p w14:paraId="7C6E066B" w14:textId="77777777" w:rsidR="002C4F65" w:rsidRPr="00555E72" w:rsidRDefault="002C4F65" w:rsidP="002C4F65">
      <w:pPr>
        <w:jc w:val="both"/>
        <w:rPr>
          <w:rFonts w:ascii="Arial" w:hAnsi="Arial" w:cs="Arial"/>
          <w:b/>
        </w:rPr>
      </w:pPr>
      <w:r w:rsidRPr="00555E72">
        <w:rPr>
          <w:rFonts w:ascii="Arial" w:hAnsi="Arial" w:cs="Arial"/>
          <w:b/>
        </w:rPr>
        <w:t>Capital Recovery Amortization Expense</w:t>
      </w:r>
    </w:p>
    <w:p w14:paraId="66D38D35" w14:textId="49A0D697" w:rsidR="00086203" w:rsidRDefault="002C4F65" w:rsidP="002C4F65">
      <w:pPr>
        <w:spacing w:after="200"/>
        <w:jc w:val="both"/>
        <w:rPr>
          <w:rFonts w:eastAsiaTheme="minorHAnsi" w:cstheme="minorBidi"/>
        </w:rPr>
      </w:pPr>
      <w:r w:rsidRPr="00555E72">
        <w:rPr>
          <w:rFonts w:eastAsiaTheme="minorHAnsi" w:cstheme="minorBidi"/>
        </w:rPr>
        <w:t>The Utility did not record a capital recovery amortization expense. As discussed in Issue 4, staff recommends a capital recovery schedule of $25,543 over a seven-year amortization period. The corresponding annual amortization expense is $3,649. Therefore, staff recommends a capital recovery amortization expense of $3,649.</w:t>
      </w:r>
    </w:p>
    <w:p w14:paraId="638C1B38" w14:textId="7848B6FD" w:rsidR="005352B0" w:rsidRDefault="005352B0" w:rsidP="005352B0">
      <w:pPr>
        <w:jc w:val="both"/>
        <w:rPr>
          <w:rFonts w:ascii="Arial" w:hAnsi="Arial" w:cs="Arial"/>
          <w:b/>
        </w:rPr>
      </w:pPr>
      <w:r w:rsidRPr="005352B0">
        <w:rPr>
          <w:rFonts w:ascii="Arial" w:hAnsi="Arial" w:cs="Arial"/>
          <w:b/>
        </w:rPr>
        <w:t xml:space="preserve">CIAC </w:t>
      </w:r>
      <w:r>
        <w:rPr>
          <w:rFonts w:ascii="Arial" w:hAnsi="Arial" w:cs="Arial"/>
          <w:b/>
        </w:rPr>
        <w:t xml:space="preserve">Amortization </w:t>
      </w:r>
      <w:r w:rsidRPr="005352B0">
        <w:rPr>
          <w:rFonts w:ascii="Arial" w:hAnsi="Arial" w:cs="Arial"/>
          <w:b/>
        </w:rPr>
        <w:t>Expense</w:t>
      </w:r>
    </w:p>
    <w:p w14:paraId="5FC782AC" w14:textId="011DB37F" w:rsidR="004514A4" w:rsidRDefault="005352B0" w:rsidP="005352B0">
      <w:pPr>
        <w:spacing w:after="240"/>
        <w:jc w:val="both"/>
      </w:pPr>
      <w:r w:rsidRPr="005352B0">
        <w:rPr>
          <w:rFonts w:eastAsiaTheme="minorHAnsi" w:cstheme="minorBidi"/>
        </w:rPr>
        <w:t xml:space="preserve">The </w:t>
      </w:r>
      <w:r w:rsidR="0018358D" w:rsidRPr="005352B0">
        <w:rPr>
          <w:rFonts w:eastAsiaTheme="minorHAnsi" w:cstheme="minorBidi"/>
        </w:rPr>
        <w:t>Utility</w:t>
      </w:r>
      <w:r w:rsidRPr="005352B0">
        <w:rPr>
          <w:rFonts w:eastAsiaTheme="minorHAnsi" w:cstheme="minorBidi"/>
        </w:rPr>
        <w:t xml:space="preserve"> did not record a</w:t>
      </w:r>
      <w:r>
        <w:rPr>
          <w:rFonts w:eastAsiaTheme="minorHAnsi" w:cstheme="minorBidi"/>
        </w:rPr>
        <w:t xml:space="preserve"> </w:t>
      </w:r>
      <w:r w:rsidRPr="005352B0">
        <w:rPr>
          <w:rFonts w:eastAsiaTheme="minorHAnsi" w:cstheme="minorBidi"/>
        </w:rPr>
        <w:t xml:space="preserve">CIAC </w:t>
      </w:r>
      <w:r>
        <w:rPr>
          <w:rFonts w:eastAsiaTheme="minorHAnsi" w:cstheme="minorBidi"/>
        </w:rPr>
        <w:t xml:space="preserve">amortization </w:t>
      </w:r>
      <w:r w:rsidRPr="005352B0">
        <w:rPr>
          <w:rFonts w:eastAsiaTheme="minorHAnsi" w:cstheme="minorBidi"/>
        </w:rPr>
        <w:t>expense</w:t>
      </w:r>
      <w:r>
        <w:rPr>
          <w:rFonts w:eastAsiaTheme="minorHAnsi" w:cstheme="minorBidi"/>
        </w:rPr>
        <w:t xml:space="preserve">. </w:t>
      </w:r>
      <w:r>
        <w:t xml:space="preserve">Staff calculated the </w:t>
      </w:r>
      <w:r w:rsidRPr="005352B0">
        <w:rPr>
          <w:rFonts w:eastAsiaTheme="minorHAnsi" w:cstheme="minorBidi"/>
        </w:rPr>
        <w:t xml:space="preserve">CIAC </w:t>
      </w:r>
      <w:r>
        <w:rPr>
          <w:rFonts w:eastAsiaTheme="minorHAnsi" w:cstheme="minorBidi"/>
        </w:rPr>
        <w:t xml:space="preserve">amortization </w:t>
      </w:r>
      <w:r w:rsidRPr="005352B0">
        <w:rPr>
          <w:rFonts w:eastAsiaTheme="minorHAnsi" w:cstheme="minorBidi"/>
        </w:rPr>
        <w:t>expense</w:t>
      </w:r>
      <w:r>
        <w:t xml:space="preserve"> using the amount approved in Commission Order No. PSC-2014-0018-PAA-WS.</w:t>
      </w:r>
      <w:r>
        <w:rPr>
          <w:rStyle w:val="FootnoteReference"/>
        </w:rPr>
        <w:footnoteReference w:id="30"/>
      </w:r>
      <w:r>
        <w:t xml:space="preserve"> There have been no changes to </w:t>
      </w:r>
      <w:r w:rsidR="00451814">
        <w:t xml:space="preserve">the </w:t>
      </w:r>
      <w:r w:rsidRPr="005352B0">
        <w:rPr>
          <w:rFonts w:eastAsiaTheme="minorHAnsi" w:cstheme="minorBidi"/>
        </w:rPr>
        <w:t xml:space="preserve">CIAC </w:t>
      </w:r>
      <w:r>
        <w:rPr>
          <w:rFonts w:eastAsiaTheme="minorHAnsi" w:cstheme="minorBidi"/>
        </w:rPr>
        <w:t xml:space="preserve">amortization </w:t>
      </w:r>
      <w:r w:rsidRPr="005352B0">
        <w:rPr>
          <w:rFonts w:eastAsiaTheme="minorHAnsi" w:cstheme="minorBidi"/>
        </w:rPr>
        <w:t>expense</w:t>
      </w:r>
      <w:r>
        <w:t xml:space="preserve"> since the last Commission Order. Therefore, staff recommends a </w:t>
      </w:r>
      <w:r w:rsidRPr="005352B0">
        <w:rPr>
          <w:rFonts w:eastAsiaTheme="minorHAnsi" w:cstheme="minorBidi"/>
        </w:rPr>
        <w:t xml:space="preserve">CIAC </w:t>
      </w:r>
      <w:r>
        <w:rPr>
          <w:rFonts w:eastAsiaTheme="minorHAnsi" w:cstheme="minorBidi"/>
        </w:rPr>
        <w:t xml:space="preserve">amortization </w:t>
      </w:r>
      <w:r w:rsidRPr="005352B0">
        <w:rPr>
          <w:rFonts w:eastAsiaTheme="minorHAnsi" w:cstheme="minorBidi"/>
        </w:rPr>
        <w:t>expense</w:t>
      </w:r>
      <w:r>
        <w:t xml:space="preserve"> of $179.</w:t>
      </w:r>
    </w:p>
    <w:p w14:paraId="2DCAE0BB" w14:textId="77777777" w:rsidR="000D05DA" w:rsidRPr="00C05CAF" w:rsidRDefault="000D05DA" w:rsidP="005352B0">
      <w:pPr>
        <w:spacing w:after="240"/>
        <w:jc w:val="both"/>
      </w:pPr>
    </w:p>
    <w:p w14:paraId="2B18E1C5" w14:textId="77777777" w:rsidR="002C4F65" w:rsidRPr="00555E72" w:rsidRDefault="002C4F65" w:rsidP="002C4F65">
      <w:pPr>
        <w:jc w:val="both"/>
        <w:rPr>
          <w:rFonts w:ascii="Arial" w:hAnsi="Arial" w:cs="Arial"/>
          <w:b/>
        </w:rPr>
      </w:pPr>
      <w:r w:rsidRPr="00555E72">
        <w:rPr>
          <w:rFonts w:ascii="Arial" w:hAnsi="Arial" w:cs="Arial"/>
          <w:b/>
        </w:rPr>
        <w:t>Taxes Other Than Income (TOTI)</w:t>
      </w:r>
    </w:p>
    <w:p w14:paraId="749A1A61" w14:textId="06F10C8B" w:rsidR="002C4F65" w:rsidRPr="00555E72" w:rsidRDefault="002C4F65" w:rsidP="002C4F65">
      <w:pPr>
        <w:spacing w:after="240"/>
        <w:jc w:val="both"/>
      </w:pPr>
      <w:r w:rsidRPr="00555E72">
        <w:t xml:space="preserve">The Utility recorded TOTI of $4,860. Audit staff increased this amount by $373 to reflect an increase in Regulatory Assessment Fees (RAFs) based on an audit revenue adjustment. Staff increased </w:t>
      </w:r>
      <w:r w:rsidRPr="00555E72">
        <w:rPr>
          <w:bCs/>
          <w:iCs/>
          <w:szCs w:val="28"/>
        </w:rPr>
        <w:t>payroll tax</w:t>
      </w:r>
      <w:r w:rsidR="00F17284">
        <w:rPr>
          <w:bCs/>
          <w:iCs/>
          <w:szCs w:val="28"/>
        </w:rPr>
        <w:t>es</w:t>
      </w:r>
      <w:r w:rsidRPr="00555E72">
        <w:t xml:space="preserve"> by $654 </w:t>
      </w:r>
      <w:r w:rsidRPr="00555E72">
        <w:rPr>
          <w:bCs/>
          <w:iCs/>
          <w:szCs w:val="28"/>
        </w:rPr>
        <w:t>to reflect the reclassification of payroll tax</w:t>
      </w:r>
      <w:r w:rsidR="00F17284">
        <w:rPr>
          <w:bCs/>
          <w:iCs/>
          <w:szCs w:val="28"/>
        </w:rPr>
        <w:t xml:space="preserve">es </w:t>
      </w:r>
      <w:r w:rsidRPr="00555E72">
        <w:rPr>
          <w:bCs/>
          <w:iCs/>
          <w:szCs w:val="28"/>
        </w:rPr>
        <w:t xml:space="preserve">that had been recorded in Account 601 – Salaries and Wages. </w:t>
      </w:r>
    </w:p>
    <w:p w14:paraId="56F2F6F2" w14:textId="77777777" w:rsidR="002C4F65" w:rsidRPr="00555E72" w:rsidRDefault="002C4F65" w:rsidP="002C4F65">
      <w:pPr>
        <w:spacing w:after="240"/>
        <w:jc w:val="both"/>
        <w:rPr>
          <w:bCs/>
          <w:iCs/>
          <w:szCs w:val="28"/>
        </w:rPr>
      </w:pPr>
      <w:r w:rsidRPr="00555E72">
        <w:t>Based on revenues discussed in Issue 6, TOTI should be increased by $</w:t>
      </w:r>
      <w:r>
        <w:t>825</w:t>
      </w:r>
      <w:r w:rsidRPr="00555E72">
        <w:t xml:space="preserve"> to reflect a </w:t>
      </w:r>
      <w:r w:rsidRPr="00555E72">
        <w:rPr>
          <w:bCs/>
          <w:iCs/>
          <w:szCs w:val="28"/>
        </w:rPr>
        <w:t>RAF rate of 4.5 percent applied to the adjustment in revenues.</w:t>
      </w:r>
    </w:p>
    <w:p w14:paraId="41F8778F" w14:textId="7838EF01" w:rsidR="002C4F65" w:rsidRPr="00555E72" w:rsidRDefault="002C4F65" w:rsidP="002C4F65">
      <w:pPr>
        <w:spacing w:after="240"/>
        <w:jc w:val="both"/>
      </w:pPr>
      <w:r w:rsidRPr="00555E72">
        <w:t>As discussed in Issue 9, staff recommends revenues be increased by $</w:t>
      </w:r>
      <w:r>
        <w:t>83,</w:t>
      </w:r>
      <w:r w:rsidR="00A309C0">
        <w:t>459</w:t>
      </w:r>
      <w:r w:rsidRPr="00555E72">
        <w:t xml:space="preserve"> to reflect the increased revenue required to cover expenses and allow an opportunity to earn the recommended rate of return. As a result, TOTI should be increased by </w:t>
      </w:r>
      <w:r w:rsidR="004C59B9">
        <w:t>$3,756</w:t>
      </w:r>
      <w:r w:rsidRPr="00555E72">
        <w:t xml:space="preserve"> to reflect a RAF rate of 4.5 percent </w:t>
      </w:r>
      <w:r w:rsidR="00B87A07">
        <w:t xml:space="preserve">applied </w:t>
      </w:r>
      <w:r w:rsidRPr="00555E72">
        <w:t>to the change in revenues. Staff’s adjustments result in a total increase of $</w:t>
      </w:r>
      <w:r>
        <w:t>5,</w:t>
      </w:r>
      <w:r w:rsidR="004C59B9">
        <w:t>608</w:t>
      </w:r>
      <w:r w:rsidRPr="00555E72">
        <w:t>. Therefore, staff recommends a TOTI of $10,</w:t>
      </w:r>
      <w:r w:rsidR="004C59B9">
        <w:t>468</w:t>
      </w:r>
      <w:r w:rsidRPr="00555E72">
        <w:t>.</w:t>
      </w:r>
    </w:p>
    <w:p w14:paraId="740F7406" w14:textId="77777777" w:rsidR="002C4F65" w:rsidRPr="00555E72" w:rsidRDefault="002C4F65" w:rsidP="002C4F65">
      <w:pPr>
        <w:jc w:val="both"/>
        <w:rPr>
          <w:rFonts w:ascii="Arial" w:hAnsi="Arial" w:cs="Arial"/>
          <w:b/>
        </w:rPr>
      </w:pPr>
      <w:r w:rsidRPr="00555E72">
        <w:rPr>
          <w:rFonts w:ascii="Arial" w:hAnsi="Arial" w:cs="Arial"/>
          <w:b/>
        </w:rPr>
        <w:t>Operating Expense Summary</w:t>
      </w:r>
    </w:p>
    <w:p w14:paraId="0F59338B" w14:textId="2FDBDDD2" w:rsidR="00555E72" w:rsidRPr="00555E72" w:rsidRDefault="002C4F65" w:rsidP="002C4F65">
      <w:pPr>
        <w:spacing w:after="240"/>
        <w:jc w:val="both"/>
        <w:outlineLvl w:val="1"/>
      </w:pPr>
      <w:r w:rsidRPr="00555E72">
        <w:rPr>
          <w:bCs/>
          <w:iCs/>
          <w:szCs w:val="28"/>
        </w:rPr>
        <w:t xml:space="preserve">The Utility recorded operating expenses of </w:t>
      </w:r>
      <w:r w:rsidRPr="00555E72">
        <w:t>$183,940.</w:t>
      </w:r>
      <w:r w:rsidRPr="00555E72">
        <w:rPr>
          <w:bCs/>
          <w:iCs/>
          <w:szCs w:val="28"/>
        </w:rPr>
        <w:t xml:space="preserve"> The application of staff’s recommended adjustments to the Utility’s operating expense results in a total operating expense of </w:t>
      </w:r>
      <w:r w:rsidR="004C59B9">
        <w:t>$160,038</w:t>
      </w:r>
      <w:r w:rsidRPr="00555E72">
        <w:rPr>
          <w:bCs/>
          <w:iCs/>
          <w:szCs w:val="28"/>
        </w:rPr>
        <w:t xml:space="preserve">, a decrease of </w:t>
      </w:r>
      <w:r w:rsidR="00183189">
        <w:t>$23,</w:t>
      </w:r>
      <w:r w:rsidR="004C59B9">
        <w:t>902</w:t>
      </w:r>
      <w:r w:rsidRPr="00555E72">
        <w:rPr>
          <w:bCs/>
          <w:iCs/>
          <w:szCs w:val="28"/>
        </w:rPr>
        <w:t>. Operating expenses are shown on Schedule No. 3-A, and the related adjustments are shown on Schedule No. 3-B.</w:t>
      </w:r>
    </w:p>
    <w:p w14:paraId="6C1B14BD" w14:textId="77777777" w:rsidR="00555E72" w:rsidRPr="00555E72" w:rsidRDefault="00555E72" w:rsidP="00555E72">
      <w:pPr>
        <w:spacing w:after="240"/>
        <w:jc w:val="both"/>
      </w:pPr>
    </w:p>
    <w:p w14:paraId="32144AA0" w14:textId="5D2496C5" w:rsidR="00C05CAF" w:rsidRPr="00875D78" w:rsidRDefault="00555E72" w:rsidP="00C05CAF">
      <w:pPr>
        <w:pStyle w:val="IssueHeading"/>
        <w:rPr>
          <w:vanish/>
          <w:specVanish/>
        </w:rPr>
      </w:pPr>
      <w:r w:rsidRPr="00555E72">
        <w:br w:type="page"/>
        <w:t>Issue</w:t>
      </w:r>
      <w:r w:rsidRPr="00555E72">
        <w:rPr>
          <w:noProof/>
        </w:rPr>
        <w:t xml:space="preserv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8</w:t>
      </w:r>
      <w:r w:rsidR="00C8514D" w:rsidRPr="00C8514D">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39" w:name="_Toc224892270"/>
      <w:bookmarkStart w:id="40" w:name="_Toc231452276"/>
      <w:r w:rsidR="00AD1D97">
        <w:rPr>
          <w:noProof/>
        </w:rPr>
        <w:instrText>8</w:instrText>
      </w:r>
      <w:r w:rsidRPr="00555E72">
        <w:rPr>
          <w:b w:val="0"/>
          <w:bCs w:val="0"/>
          <w:i w:val="0"/>
        </w:rPr>
        <w:fldChar w:fldCharType="end"/>
      </w:r>
      <w:r w:rsidRPr="00555E72">
        <w:tab/>
        <w:instrText>Appropriate Revenue Requirement</w:instrText>
      </w:r>
      <w:bookmarkEnd w:id="39"/>
      <w:bookmarkEnd w:id="40"/>
      <w:r w:rsidRPr="00555E72">
        <w:instrText xml:space="preserve">" \l 1 </w:instrText>
      </w:r>
      <w:r w:rsidRPr="00555E72">
        <w:rPr>
          <w:b w:val="0"/>
          <w:bCs w:val="0"/>
          <w:i w:val="0"/>
        </w:rPr>
        <w:fldChar w:fldCharType="end"/>
      </w:r>
      <w:r w:rsidR="00C05CAF" w:rsidRPr="00555E72">
        <w:t> </w:t>
      </w:r>
    </w:p>
    <w:p w14:paraId="6515FD08" w14:textId="4F7F9D2A" w:rsidR="00555E72" w:rsidRPr="00555E72" w:rsidRDefault="00C05CAF" w:rsidP="00C05CAF">
      <w:pPr>
        <w:spacing w:after="240"/>
        <w:jc w:val="both"/>
      </w:pPr>
      <w:r w:rsidRPr="00555E72">
        <w:rPr>
          <w:rFonts w:ascii="Arial" w:hAnsi="Arial" w:cs="Arial"/>
          <w:b/>
          <w:bCs/>
          <w:i/>
          <w:kern w:val="32"/>
          <w:szCs w:val="32"/>
        </w:rPr>
        <w:t> </w:t>
      </w:r>
      <w:r w:rsidR="002C4F65" w:rsidRPr="00555E72">
        <w:t>Does Sunlake Estates Utilities, L.L.C. meet the criteria for application of the operating ratio methodology?</w:t>
      </w:r>
    </w:p>
    <w:p w14:paraId="33AB5590" w14:textId="13BBBEA3"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7522AD0F" w14:textId="330B3D0F" w:rsidR="007D7227" w:rsidRPr="007D7227" w:rsidRDefault="00C05CAF" w:rsidP="00C05CAF">
      <w:pPr>
        <w:spacing w:after="240"/>
        <w:jc w:val="both"/>
        <w:outlineLvl w:val="1"/>
      </w:pPr>
      <w:r w:rsidRPr="00555E72">
        <w:rPr>
          <w:rFonts w:ascii="Arial" w:hAnsi="Arial" w:cs="Arial"/>
          <w:b/>
          <w:bCs/>
          <w:i/>
          <w:kern w:val="32"/>
          <w:szCs w:val="32"/>
        </w:rPr>
        <w:t> </w:t>
      </w:r>
      <w:r w:rsidR="002C4F65" w:rsidRPr="00555E72">
        <w:t xml:space="preserve">No, Sunlake Estates Utilities, L.L.C. does not meet the requirement for application of the operating ratio methodology for calculating the revenue requirement. (Lenberg) </w:t>
      </w:r>
    </w:p>
    <w:p w14:paraId="4C517713" w14:textId="02F8334B"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398FC7E9" w14:textId="168AC73E" w:rsidR="002C4F65" w:rsidRPr="007D7227" w:rsidRDefault="00086203" w:rsidP="00086203">
      <w:pPr>
        <w:spacing w:after="240"/>
        <w:jc w:val="both"/>
        <w:outlineLvl w:val="1"/>
        <w:rPr>
          <w:rFonts w:ascii="Arial" w:hAnsi="Arial" w:cs="Arial"/>
          <w:b/>
          <w:bCs/>
          <w:i/>
          <w:iCs/>
          <w:vanish/>
          <w:szCs w:val="28"/>
        </w:rPr>
      </w:pPr>
      <w:r w:rsidRPr="00555E72">
        <w:rPr>
          <w:rFonts w:ascii="Arial" w:hAnsi="Arial" w:cs="Arial"/>
          <w:b/>
          <w:bCs/>
          <w:i/>
          <w:kern w:val="32"/>
          <w:szCs w:val="32"/>
        </w:rPr>
        <w:t> </w:t>
      </w:r>
      <w:r w:rsidR="002C4F65" w:rsidRPr="00555E72">
        <w:t>Rule 25-30.4575(2), F.A.C., indicates that in rate cases processed under Rule 25-30.455, F.A.C., the Commission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w:t>
      </w:r>
      <w:r w:rsidR="00B87A07">
        <w:t xml:space="preserve"> </w:t>
      </w:r>
    </w:p>
    <w:p w14:paraId="01B41D87" w14:textId="1CACFD05" w:rsidR="00555E72" w:rsidRPr="007D7227" w:rsidRDefault="002C4F65" w:rsidP="007D7227">
      <w:pPr>
        <w:spacing w:after="240"/>
        <w:jc w:val="both"/>
      </w:pPr>
      <w:r w:rsidRPr="00555E72">
        <w:t xml:space="preserve">With respect to Sunlake, staff has recommended a rate base of </w:t>
      </w:r>
      <w:r w:rsidR="004C59B9">
        <w:t>$677,077</w:t>
      </w:r>
      <w:r w:rsidRPr="00555E72">
        <w:t>. After removal of rate case expense, staff has calculated an adjusted O&amp;M expense of $1</w:t>
      </w:r>
      <w:r>
        <w:t>10,340</w:t>
      </w:r>
      <w:r w:rsidRPr="00555E72">
        <w:t xml:space="preserve">. Based on staff’s recommended amounts, the Utility’s water rate base is </w:t>
      </w:r>
      <w:r>
        <w:t>61</w:t>
      </w:r>
      <w:r w:rsidR="004C59B9">
        <w:t>3.63</w:t>
      </w:r>
      <w:r w:rsidRPr="00555E72">
        <w:t xml:space="preserve"> percent of its adjusted O&amp;M expense. Based on this, the Utility does not qualify for application of the operating ratio methodology.</w:t>
      </w:r>
    </w:p>
    <w:p w14:paraId="3478FD82" w14:textId="4094666C" w:rsidR="00C05CAF" w:rsidRPr="00875D78" w:rsidRDefault="00555E72" w:rsidP="00C05CAF">
      <w:pPr>
        <w:pStyle w:val="IssueHeading"/>
        <w:rPr>
          <w:vanish/>
          <w:specVanish/>
        </w:rPr>
      </w:pPr>
      <w:r w:rsidRPr="00555E72">
        <w:br w:type="page"/>
        <w:t>Issu</w:t>
      </w:r>
      <w:r w:rsidRPr="00555E72">
        <w:rPr>
          <w:noProof/>
        </w:rPr>
        <w:t xml:space="preserve">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9</w:t>
      </w:r>
      <w:r w:rsidR="00C8514D" w:rsidRPr="00C8514D">
        <w:rPr>
          <w:noProof/>
        </w:rPr>
        <w:fldChar w:fldCharType="end"/>
      </w:r>
      <w:r w:rsidRPr="00555E72">
        <w:rPr>
          <w:noProof/>
        </w:rPr>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41" w:name="_Toc224892271"/>
      <w:bookmarkStart w:id="42" w:name="_Toc231452277"/>
      <w:r w:rsidR="00AD1D97">
        <w:rPr>
          <w:noProof/>
        </w:rPr>
        <w:instrText>9</w:instrText>
      </w:r>
      <w:r w:rsidRPr="00555E72">
        <w:rPr>
          <w:b w:val="0"/>
          <w:bCs w:val="0"/>
          <w:i w:val="0"/>
        </w:rPr>
        <w:fldChar w:fldCharType="end"/>
      </w:r>
      <w:r w:rsidRPr="00555E72">
        <w:tab/>
        <w:instrText>Appropriate Rate Structure</w:instrText>
      </w:r>
      <w:bookmarkEnd w:id="41"/>
      <w:bookmarkEnd w:id="42"/>
      <w:r w:rsidRPr="00555E72">
        <w:instrText xml:space="preserve">" \l 1 </w:instrText>
      </w:r>
      <w:r w:rsidRPr="00555E72">
        <w:rPr>
          <w:b w:val="0"/>
          <w:bCs w:val="0"/>
          <w:i w:val="0"/>
        </w:rPr>
        <w:fldChar w:fldCharType="end"/>
      </w:r>
      <w:r w:rsidR="00C05CAF" w:rsidRPr="00555E72">
        <w:t> </w:t>
      </w:r>
    </w:p>
    <w:p w14:paraId="427BB7C3" w14:textId="20A24051" w:rsidR="007D7227" w:rsidRPr="007D7227" w:rsidRDefault="00C05CAF" w:rsidP="00C05CAF">
      <w:pPr>
        <w:spacing w:after="240"/>
        <w:jc w:val="both"/>
        <w:outlineLvl w:val="1"/>
      </w:pPr>
      <w:r w:rsidRPr="00555E72">
        <w:rPr>
          <w:rFonts w:ascii="Arial" w:hAnsi="Arial" w:cs="Arial"/>
          <w:b/>
          <w:bCs/>
          <w:i/>
          <w:kern w:val="32"/>
          <w:szCs w:val="32"/>
        </w:rPr>
        <w:t> </w:t>
      </w:r>
      <w:r w:rsidR="002C4F65" w:rsidRPr="00555E72">
        <w:t>What is the appropriate revenue requirement for Sunlake Estates Utilities, L.L.C.?</w:t>
      </w:r>
    </w:p>
    <w:p w14:paraId="58B1D4A1" w14:textId="11973219"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0F8A9AE3" w14:textId="1BEE288F" w:rsidR="00555E72" w:rsidRPr="002C4F65" w:rsidRDefault="00C05CAF" w:rsidP="00C05CAF">
      <w:pPr>
        <w:spacing w:after="240"/>
        <w:jc w:val="both"/>
      </w:pPr>
      <w:r w:rsidRPr="00555E72">
        <w:rPr>
          <w:rFonts w:ascii="Arial" w:hAnsi="Arial" w:cs="Arial"/>
          <w:b/>
          <w:bCs/>
          <w:i/>
          <w:kern w:val="32"/>
          <w:szCs w:val="32"/>
        </w:rPr>
        <w:t> </w:t>
      </w:r>
      <w:r w:rsidR="002C4F65" w:rsidRPr="00555E72">
        <w:t>The appropriate revenue requirement is $2</w:t>
      </w:r>
      <w:r w:rsidR="002C4F65">
        <w:t>18,</w:t>
      </w:r>
      <w:r w:rsidR="004C59B9">
        <w:t>097</w:t>
      </w:r>
      <w:r w:rsidR="002C4F65" w:rsidRPr="00555E72">
        <w:t>, resulting in an annual increase of $</w:t>
      </w:r>
      <w:r w:rsidR="002C4F65">
        <w:t>8</w:t>
      </w:r>
      <w:r w:rsidR="004C59B9">
        <w:t>3,459</w:t>
      </w:r>
      <w:r w:rsidR="002C4F65" w:rsidRPr="00555E72">
        <w:t xml:space="preserve"> (</w:t>
      </w:r>
      <w:r w:rsidR="002C4F65">
        <w:t>6</w:t>
      </w:r>
      <w:r w:rsidR="004C59B9">
        <w:t>1.99</w:t>
      </w:r>
      <w:r w:rsidR="002C4F65" w:rsidRPr="00555E72">
        <w:t xml:space="preserve"> percent). (Lenberg)</w:t>
      </w:r>
      <w:r w:rsidR="00555E72" w:rsidRPr="00555E72">
        <w:rPr>
          <w:rFonts w:ascii="Arial" w:hAnsi="Arial" w:cs="Arial"/>
          <w:b/>
          <w:bCs/>
          <w:i/>
          <w:iCs/>
          <w:szCs w:val="28"/>
        </w:rPr>
        <w:t xml:space="preserve"> </w:t>
      </w:r>
    </w:p>
    <w:p w14:paraId="567C94C3" w14:textId="18483D2F"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54228120" w14:textId="0463E6CB" w:rsidR="002C4F65" w:rsidRPr="00555E72" w:rsidRDefault="00086203" w:rsidP="00086203">
      <w:pPr>
        <w:spacing w:after="240"/>
        <w:jc w:val="both"/>
      </w:pPr>
      <w:r w:rsidRPr="00555E72">
        <w:rPr>
          <w:rFonts w:ascii="Arial" w:hAnsi="Arial" w:cs="Arial"/>
          <w:b/>
          <w:bCs/>
          <w:i/>
          <w:kern w:val="32"/>
          <w:szCs w:val="32"/>
        </w:rPr>
        <w:t> </w:t>
      </w:r>
      <w:r w:rsidR="002C4F65" w:rsidRPr="00555E72">
        <w:t xml:space="preserve">Sunlake Estates Utilities, L.L.C. should be allowed an annual increase of </w:t>
      </w:r>
      <w:r w:rsidR="00183189" w:rsidRPr="00555E72">
        <w:t>$</w:t>
      </w:r>
      <w:r w:rsidR="00183189">
        <w:t>8</w:t>
      </w:r>
      <w:r w:rsidR="004C59B9">
        <w:t>3,459</w:t>
      </w:r>
      <w:r w:rsidR="002C4F65" w:rsidRPr="00555E72">
        <w:t xml:space="preserve"> (</w:t>
      </w:r>
      <w:r w:rsidR="002C4F65">
        <w:t>6</w:t>
      </w:r>
      <w:r w:rsidR="004C59B9">
        <w:t>1.99</w:t>
      </w:r>
      <w:r w:rsidR="002C4F65" w:rsidRPr="00555E72">
        <w:t xml:space="preserve"> percent). This should allow the Utility the opportunity to recover its expenses and earn an 8.</w:t>
      </w:r>
      <w:r w:rsidR="00E56D40">
        <w:t>58</w:t>
      </w:r>
      <w:r w:rsidR="002C4F65" w:rsidRPr="00555E72">
        <w:t xml:space="preserve"> percent rate of return. The calculations of revenue requirement are shown on Table 9-1.</w:t>
      </w:r>
      <w:r w:rsidR="002C4F65" w:rsidRPr="00555E72">
        <w:rPr>
          <w:vertAlign w:val="superscript"/>
        </w:rPr>
        <w:footnoteReference w:id="31"/>
      </w:r>
    </w:p>
    <w:p w14:paraId="4AC0986B" w14:textId="77777777" w:rsidR="002C4F65" w:rsidRPr="00555E72" w:rsidRDefault="002C4F65" w:rsidP="002C4F65">
      <w:pPr>
        <w:jc w:val="center"/>
        <w:rPr>
          <w:rFonts w:ascii="Arial" w:hAnsi="Arial" w:cs="Arial"/>
          <w:b/>
        </w:rPr>
      </w:pPr>
      <w:r w:rsidRPr="00555E72">
        <w:rPr>
          <w:rFonts w:ascii="Arial" w:hAnsi="Arial" w:cs="Arial"/>
          <w:b/>
        </w:rPr>
        <w:t>Table 9-1</w:t>
      </w:r>
    </w:p>
    <w:p w14:paraId="59A41B02" w14:textId="77777777" w:rsidR="002C4F65" w:rsidRPr="00555E72" w:rsidRDefault="002C4F65" w:rsidP="002C4F65">
      <w:pPr>
        <w:keepNext/>
        <w:jc w:val="center"/>
        <w:rPr>
          <w:rFonts w:ascii="Arial" w:hAnsi="Arial"/>
          <w:b/>
        </w:rPr>
      </w:pPr>
      <w:r w:rsidRPr="00555E72">
        <w:rPr>
          <w:rFonts w:ascii="Arial" w:hAnsi="Arial"/>
          <w:b/>
        </w:rPr>
        <w:t>Revenue Requirement</w:t>
      </w:r>
    </w:p>
    <w:tbl>
      <w:tblPr>
        <w:tblStyle w:val="TableGrid61"/>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4C59B9" w:rsidRPr="00555E72" w14:paraId="647331F7" w14:textId="77777777" w:rsidTr="00143CB9">
        <w:trPr>
          <w:jc w:val="center"/>
        </w:trPr>
        <w:tc>
          <w:tcPr>
            <w:tcW w:w="4106" w:type="dxa"/>
          </w:tcPr>
          <w:p w14:paraId="07AD0947" w14:textId="77777777" w:rsidR="004C59B9" w:rsidRPr="00555E72" w:rsidRDefault="004C59B9" w:rsidP="004C59B9">
            <w:r w:rsidRPr="00555E72">
              <w:t>Water Rate Base</w:t>
            </w:r>
          </w:p>
        </w:tc>
        <w:tc>
          <w:tcPr>
            <w:tcW w:w="0" w:type="auto"/>
            <w:shd w:val="clear" w:color="auto" w:fill="auto"/>
            <w:vAlign w:val="bottom"/>
          </w:tcPr>
          <w:p w14:paraId="14498B57" w14:textId="30898FE5" w:rsidR="004C59B9" w:rsidRPr="00555E72" w:rsidRDefault="004C59B9" w:rsidP="004C59B9">
            <w:pPr>
              <w:jc w:val="right"/>
              <w:rPr>
                <w:color w:val="000000"/>
              </w:rPr>
            </w:pPr>
            <w:r>
              <w:rPr>
                <w:color w:val="000000"/>
              </w:rPr>
              <w:t xml:space="preserve">$677,077 </w:t>
            </w:r>
          </w:p>
        </w:tc>
      </w:tr>
      <w:tr w:rsidR="004C59B9" w:rsidRPr="00555E72" w14:paraId="176E84A4" w14:textId="77777777" w:rsidTr="00143CB9">
        <w:trPr>
          <w:jc w:val="center"/>
        </w:trPr>
        <w:tc>
          <w:tcPr>
            <w:tcW w:w="4106" w:type="dxa"/>
          </w:tcPr>
          <w:p w14:paraId="3250B4C3" w14:textId="77777777" w:rsidR="004C59B9" w:rsidRPr="00555E72" w:rsidRDefault="004C59B9" w:rsidP="004C59B9">
            <w:r w:rsidRPr="00555E72">
              <w:t>Rate of Return</w:t>
            </w:r>
          </w:p>
        </w:tc>
        <w:tc>
          <w:tcPr>
            <w:tcW w:w="0" w:type="auto"/>
            <w:shd w:val="clear" w:color="auto" w:fill="auto"/>
            <w:vAlign w:val="bottom"/>
          </w:tcPr>
          <w:p w14:paraId="5D33631F" w14:textId="55C27A9D" w:rsidR="004C59B9" w:rsidRPr="00555E72" w:rsidRDefault="004C59B9" w:rsidP="004C59B9">
            <w:pPr>
              <w:jc w:val="right"/>
              <w:rPr>
                <w:u w:val="single"/>
              </w:rPr>
            </w:pPr>
            <w:r>
              <w:rPr>
                <w:color w:val="000000"/>
                <w:u w:val="single"/>
              </w:rPr>
              <w:t>8.58%</w:t>
            </w:r>
          </w:p>
        </w:tc>
      </w:tr>
      <w:tr w:rsidR="004C59B9" w:rsidRPr="00555E72" w14:paraId="26DCA172" w14:textId="77777777" w:rsidTr="00143CB9">
        <w:trPr>
          <w:jc w:val="center"/>
        </w:trPr>
        <w:tc>
          <w:tcPr>
            <w:tcW w:w="4106" w:type="dxa"/>
          </w:tcPr>
          <w:p w14:paraId="05E33C08" w14:textId="77777777" w:rsidR="004C59B9" w:rsidRPr="00555E72" w:rsidRDefault="004C59B9" w:rsidP="004C59B9">
            <w:r w:rsidRPr="00555E72">
              <w:t>Return on Rate Base</w:t>
            </w:r>
          </w:p>
        </w:tc>
        <w:tc>
          <w:tcPr>
            <w:tcW w:w="0" w:type="auto"/>
            <w:shd w:val="clear" w:color="auto" w:fill="auto"/>
            <w:vAlign w:val="bottom"/>
          </w:tcPr>
          <w:p w14:paraId="7982B813" w14:textId="4F2F389D" w:rsidR="004C59B9" w:rsidRPr="00555E72" w:rsidRDefault="004C59B9" w:rsidP="004C59B9">
            <w:pPr>
              <w:jc w:val="right"/>
              <w:rPr>
                <w:color w:val="000000"/>
                <w:u w:val="double"/>
              </w:rPr>
            </w:pPr>
            <w:r>
              <w:rPr>
                <w:color w:val="000000"/>
                <w:u w:val="double"/>
              </w:rPr>
              <w:t xml:space="preserve">$58,059 </w:t>
            </w:r>
          </w:p>
        </w:tc>
      </w:tr>
      <w:tr w:rsidR="004C59B9" w:rsidRPr="00555E72" w14:paraId="6B5A22AE" w14:textId="77777777" w:rsidTr="00143CB9">
        <w:trPr>
          <w:jc w:val="center"/>
        </w:trPr>
        <w:tc>
          <w:tcPr>
            <w:tcW w:w="4106" w:type="dxa"/>
          </w:tcPr>
          <w:p w14:paraId="792A65A8" w14:textId="77777777" w:rsidR="004C59B9" w:rsidRPr="00555E72" w:rsidRDefault="004C59B9" w:rsidP="004C59B9">
            <w:r w:rsidRPr="00555E72">
              <w:t>Water O&amp;M Expense</w:t>
            </w:r>
          </w:p>
        </w:tc>
        <w:tc>
          <w:tcPr>
            <w:tcW w:w="0" w:type="auto"/>
            <w:shd w:val="clear" w:color="auto" w:fill="auto"/>
            <w:vAlign w:val="bottom"/>
          </w:tcPr>
          <w:p w14:paraId="6A8AD6AA" w14:textId="2E273A03" w:rsidR="004C59B9" w:rsidRPr="00555E72" w:rsidRDefault="004C59B9" w:rsidP="004C59B9">
            <w:pPr>
              <w:jc w:val="right"/>
              <w:rPr>
                <w:color w:val="000000"/>
              </w:rPr>
            </w:pPr>
            <w:r>
              <w:rPr>
                <w:color w:val="000000"/>
              </w:rPr>
              <w:t xml:space="preserve">113,340 </w:t>
            </w:r>
          </w:p>
        </w:tc>
      </w:tr>
      <w:tr w:rsidR="004C59B9" w:rsidRPr="00555E72" w14:paraId="69C749A2" w14:textId="77777777" w:rsidTr="00143CB9">
        <w:trPr>
          <w:jc w:val="center"/>
        </w:trPr>
        <w:tc>
          <w:tcPr>
            <w:tcW w:w="4106" w:type="dxa"/>
          </w:tcPr>
          <w:p w14:paraId="7BF14EC4" w14:textId="77777777" w:rsidR="004C59B9" w:rsidRPr="00555E72" w:rsidRDefault="004C59B9" w:rsidP="004C59B9">
            <w:r w:rsidRPr="00555E72">
              <w:t>Depreciation Expense</w:t>
            </w:r>
          </w:p>
        </w:tc>
        <w:tc>
          <w:tcPr>
            <w:tcW w:w="0" w:type="auto"/>
            <w:shd w:val="clear" w:color="auto" w:fill="auto"/>
            <w:vAlign w:val="bottom"/>
          </w:tcPr>
          <w:p w14:paraId="7367A239" w14:textId="61A95998" w:rsidR="004C59B9" w:rsidRPr="00555E72" w:rsidRDefault="004C59B9" w:rsidP="004C59B9">
            <w:pPr>
              <w:jc w:val="right"/>
              <w:rPr>
                <w:color w:val="000000"/>
              </w:rPr>
            </w:pPr>
            <w:r>
              <w:rPr>
                <w:color w:val="000000"/>
              </w:rPr>
              <w:t xml:space="preserve">32,759 </w:t>
            </w:r>
          </w:p>
        </w:tc>
      </w:tr>
      <w:tr w:rsidR="004C59B9" w:rsidRPr="00555E72" w14:paraId="03B79C3D" w14:textId="77777777" w:rsidTr="00143CB9">
        <w:trPr>
          <w:jc w:val="center"/>
        </w:trPr>
        <w:tc>
          <w:tcPr>
            <w:tcW w:w="4106" w:type="dxa"/>
          </w:tcPr>
          <w:p w14:paraId="1D60BF78" w14:textId="77777777" w:rsidR="004C59B9" w:rsidRPr="00555E72" w:rsidRDefault="004C59B9" w:rsidP="004C59B9">
            <w:r w:rsidRPr="00555E72">
              <w:t>Amortization</w:t>
            </w:r>
          </w:p>
        </w:tc>
        <w:tc>
          <w:tcPr>
            <w:tcW w:w="0" w:type="auto"/>
            <w:shd w:val="clear" w:color="auto" w:fill="auto"/>
            <w:vAlign w:val="bottom"/>
          </w:tcPr>
          <w:p w14:paraId="239E1C7D" w14:textId="61BCB3A1" w:rsidR="004C59B9" w:rsidRPr="00555E72" w:rsidRDefault="004C59B9" w:rsidP="004C59B9">
            <w:pPr>
              <w:jc w:val="right"/>
              <w:rPr>
                <w:color w:val="000000"/>
              </w:rPr>
            </w:pPr>
            <w:r>
              <w:rPr>
                <w:color w:val="000000"/>
              </w:rPr>
              <w:t xml:space="preserve">3,470 </w:t>
            </w:r>
          </w:p>
        </w:tc>
      </w:tr>
      <w:tr w:rsidR="004C59B9" w:rsidRPr="00555E72" w14:paraId="623B3DAF" w14:textId="77777777" w:rsidTr="00143CB9">
        <w:trPr>
          <w:jc w:val="center"/>
        </w:trPr>
        <w:tc>
          <w:tcPr>
            <w:tcW w:w="4106" w:type="dxa"/>
          </w:tcPr>
          <w:p w14:paraId="35F185CF" w14:textId="77777777" w:rsidR="004C59B9" w:rsidRPr="00555E72" w:rsidRDefault="004C59B9" w:rsidP="004C59B9">
            <w:r w:rsidRPr="00555E72">
              <w:t>Taxes Other Than Income</w:t>
            </w:r>
          </w:p>
        </w:tc>
        <w:tc>
          <w:tcPr>
            <w:tcW w:w="0" w:type="auto"/>
            <w:shd w:val="clear" w:color="auto" w:fill="auto"/>
            <w:vAlign w:val="bottom"/>
          </w:tcPr>
          <w:p w14:paraId="0DA73224" w14:textId="1240DF2B" w:rsidR="004C59B9" w:rsidRPr="00555E72" w:rsidRDefault="004C59B9" w:rsidP="004C59B9">
            <w:pPr>
              <w:jc w:val="right"/>
              <w:rPr>
                <w:color w:val="000000"/>
                <w:u w:val="single"/>
              </w:rPr>
            </w:pPr>
            <w:r>
              <w:rPr>
                <w:color w:val="000000"/>
                <w:u w:val="single"/>
              </w:rPr>
              <w:t xml:space="preserve">10,468 </w:t>
            </w:r>
          </w:p>
        </w:tc>
      </w:tr>
      <w:tr w:rsidR="004C59B9" w:rsidRPr="00555E72" w14:paraId="39FE1B32" w14:textId="77777777" w:rsidTr="00143CB9">
        <w:trPr>
          <w:jc w:val="center"/>
        </w:trPr>
        <w:tc>
          <w:tcPr>
            <w:tcW w:w="4106" w:type="dxa"/>
          </w:tcPr>
          <w:p w14:paraId="15BA3BAB" w14:textId="77777777" w:rsidR="004C59B9" w:rsidRPr="00555E72" w:rsidRDefault="004C59B9" w:rsidP="004C59B9">
            <w:r w:rsidRPr="00555E72">
              <w:t>Revenue Requirement</w:t>
            </w:r>
          </w:p>
        </w:tc>
        <w:tc>
          <w:tcPr>
            <w:tcW w:w="0" w:type="auto"/>
            <w:shd w:val="clear" w:color="auto" w:fill="auto"/>
            <w:vAlign w:val="bottom"/>
          </w:tcPr>
          <w:p w14:paraId="248FC17A" w14:textId="656AFDDA" w:rsidR="004C59B9" w:rsidRPr="00555E72" w:rsidRDefault="004C59B9" w:rsidP="004C59B9">
            <w:pPr>
              <w:jc w:val="right"/>
              <w:rPr>
                <w:color w:val="000000"/>
                <w:u w:val="double"/>
              </w:rPr>
            </w:pPr>
            <w:r>
              <w:rPr>
                <w:color w:val="000000"/>
                <w:u w:val="double"/>
              </w:rPr>
              <w:t xml:space="preserve">$218,097 </w:t>
            </w:r>
          </w:p>
        </w:tc>
      </w:tr>
      <w:tr w:rsidR="004C59B9" w:rsidRPr="00555E72" w14:paraId="65311E12" w14:textId="77777777" w:rsidTr="00143CB9">
        <w:trPr>
          <w:jc w:val="center"/>
        </w:trPr>
        <w:tc>
          <w:tcPr>
            <w:tcW w:w="4106" w:type="dxa"/>
          </w:tcPr>
          <w:p w14:paraId="646617A4" w14:textId="77777777" w:rsidR="004C59B9" w:rsidRPr="00555E72" w:rsidRDefault="004C59B9" w:rsidP="004C59B9">
            <w:r w:rsidRPr="00555E72">
              <w:t>Less Test Year Revenues</w:t>
            </w:r>
          </w:p>
        </w:tc>
        <w:tc>
          <w:tcPr>
            <w:tcW w:w="0" w:type="auto"/>
            <w:shd w:val="clear" w:color="auto" w:fill="auto"/>
            <w:vAlign w:val="bottom"/>
          </w:tcPr>
          <w:p w14:paraId="3BA5DD8C" w14:textId="20D3B644" w:rsidR="004C59B9" w:rsidRPr="00555E72" w:rsidRDefault="004C59B9" w:rsidP="004C59B9">
            <w:pPr>
              <w:jc w:val="right"/>
              <w:rPr>
                <w:color w:val="000000"/>
              </w:rPr>
            </w:pPr>
            <w:r>
              <w:rPr>
                <w:color w:val="000000"/>
              </w:rPr>
              <w:t xml:space="preserve">$134,638 </w:t>
            </w:r>
          </w:p>
        </w:tc>
      </w:tr>
      <w:tr w:rsidR="004C59B9" w:rsidRPr="00555E72" w14:paraId="1E5D391D" w14:textId="77777777" w:rsidTr="00143CB9">
        <w:trPr>
          <w:jc w:val="center"/>
        </w:trPr>
        <w:tc>
          <w:tcPr>
            <w:tcW w:w="4106" w:type="dxa"/>
          </w:tcPr>
          <w:p w14:paraId="285B8D0E" w14:textId="77777777" w:rsidR="004C59B9" w:rsidRPr="00555E72" w:rsidRDefault="004C59B9" w:rsidP="004C59B9">
            <w:r w:rsidRPr="00555E72">
              <w:t>Annual Increase</w:t>
            </w:r>
          </w:p>
        </w:tc>
        <w:tc>
          <w:tcPr>
            <w:tcW w:w="0" w:type="auto"/>
            <w:shd w:val="clear" w:color="auto" w:fill="auto"/>
            <w:vAlign w:val="bottom"/>
          </w:tcPr>
          <w:p w14:paraId="5B3F16DE" w14:textId="38EDCCB1" w:rsidR="004C59B9" w:rsidRPr="00555E72" w:rsidRDefault="004C59B9" w:rsidP="004C59B9">
            <w:pPr>
              <w:jc w:val="right"/>
              <w:rPr>
                <w:color w:val="000000"/>
              </w:rPr>
            </w:pPr>
            <w:r>
              <w:rPr>
                <w:color w:val="000000"/>
              </w:rPr>
              <w:t xml:space="preserve">$83,459 </w:t>
            </w:r>
          </w:p>
        </w:tc>
      </w:tr>
      <w:tr w:rsidR="004C59B9" w:rsidRPr="00555E72" w14:paraId="6F271F92" w14:textId="77777777" w:rsidTr="00143CB9">
        <w:trPr>
          <w:jc w:val="center"/>
        </w:trPr>
        <w:tc>
          <w:tcPr>
            <w:tcW w:w="4106" w:type="dxa"/>
          </w:tcPr>
          <w:p w14:paraId="7964C7AD" w14:textId="77777777" w:rsidR="004C59B9" w:rsidRPr="00555E72" w:rsidRDefault="004C59B9" w:rsidP="004C59B9">
            <w:r w:rsidRPr="00555E72">
              <w:t>Percent Increase</w:t>
            </w:r>
          </w:p>
        </w:tc>
        <w:tc>
          <w:tcPr>
            <w:tcW w:w="0" w:type="auto"/>
            <w:shd w:val="clear" w:color="auto" w:fill="auto"/>
            <w:vAlign w:val="bottom"/>
          </w:tcPr>
          <w:p w14:paraId="2A4D3641" w14:textId="432B6E34" w:rsidR="004C59B9" w:rsidRPr="00555E72" w:rsidRDefault="004C59B9" w:rsidP="004C59B9">
            <w:pPr>
              <w:jc w:val="right"/>
              <w:rPr>
                <w:color w:val="000000"/>
              </w:rPr>
            </w:pPr>
            <w:r>
              <w:rPr>
                <w:color w:val="000000"/>
              </w:rPr>
              <w:t>61.99%</w:t>
            </w:r>
          </w:p>
        </w:tc>
      </w:tr>
    </w:tbl>
    <w:p w14:paraId="4AF31A93" w14:textId="77777777" w:rsidR="002C4F65" w:rsidRPr="00555E72" w:rsidRDefault="002C4F65" w:rsidP="002C4F65">
      <w:pPr>
        <w:spacing w:after="240"/>
        <w:jc w:val="both"/>
        <w:rPr>
          <w:sz w:val="20"/>
        </w:rPr>
      </w:pPr>
      <w:r w:rsidRPr="00555E72">
        <w:rPr>
          <w:sz w:val="20"/>
        </w:rPr>
        <w:tab/>
      </w:r>
      <w:r w:rsidRPr="00555E72">
        <w:rPr>
          <w:sz w:val="20"/>
        </w:rPr>
        <w:tab/>
      </w:r>
      <w:r w:rsidRPr="00555E72">
        <w:rPr>
          <w:sz w:val="20"/>
        </w:rPr>
        <w:tab/>
        <w:t>Source: Staff calculations.</w:t>
      </w:r>
    </w:p>
    <w:p w14:paraId="5364A8BE" w14:textId="6B4F6107" w:rsidR="00461B6C" w:rsidRPr="00555E72" w:rsidRDefault="00461B6C" w:rsidP="00461B6C">
      <w:pPr>
        <w:spacing w:after="240"/>
        <w:jc w:val="both"/>
        <w:outlineLvl w:val="1"/>
        <w:rPr>
          <w:rFonts w:ascii="Arial" w:hAnsi="Arial" w:cs="Arial"/>
          <w:b/>
          <w:bCs/>
          <w:i/>
          <w:iCs/>
          <w:szCs w:val="28"/>
        </w:rPr>
      </w:pPr>
    </w:p>
    <w:p w14:paraId="588A9FBE" w14:textId="2BAE0333" w:rsidR="00555E72" w:rsidRPr="00555E72" w:rsidRDefault="00555E72" w:rsidP="00555E72">
      <w:pPr>
        <w:spacing w:after="240"/>
        <w:jc w:val="both"/>
        <w:outlineLvl w:val="1"/>
        <w:rPr>
          <w:rFonts w:ascii="Arial" w:hAnsi="Arial" w:cs="Arial"/>
          <w:b/>
          <w:bCs/>
          <w:i/>
          <w:iCs/>
          <w:szCs w:val="28"/>
        </w:rPr>
      </w:pPr>
    </w:p>
    <w:p w14:paraId="03151550" w14:textId="385526FD" w:rsidR="00C05CAF" w:rsidRPr="00875D78" w:rsidRDefault="00555E72" w:rsidP="00C05CAF">
      <w:pPr>
        <w:pStyle w:val="IssueHeading"/>
        <w:rPr>
          <w:vanish/>
          <w:specVanish/>
        </w:rPr>
      </w:pPr>
      <w:r w:rsidRPr="00555E72">
        <w:br w:type="page"/>
      </w:r>
      <w:bookmarkStart w:id="43" w:name="_Hlk234563740"/>
      <w:r w:rsidRPr="00555E72">
        <w:t xml:space="preserve">Issue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10</w:t>
      </w:r>
      <w:r w:rsidR="00C8514D" w:rsidRPr="00C8514D">
        <w:rPr>
          <w:noProof/>
        </w:rPr>
        <w:fldChar w:fldCharType="end"/>
      </w:r>
      <w:r w:rsidRPr="00555E72">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44" w:name="_Toc224892272"/>
      <w:bookmarkStart w:id="45" w:name="_Toc231452278"/>
      <w:r w:rsidR="00AD1D97">
        <w:rPr>
          <w:noProof/>
        </w:rPr>
        <w:instrText>10</w:instrText>
      </w:r>
      <w:r w:rsidRPr="00555E72">
        <w:rPr>
          <w:b w:val="0"/>
          <w:bCs w:val="0"/>
          <w:i w:val="0"/>
        </w:rPr>
        <w:fldChar w:fldCharType="end"/>
      </w:r>
      <w:r w:rsidRPr="00555E72">
        <w:tab/>
        <w:instrText>Customer Deposits</w:instrText>
      </w:r>
      <w:bookmarkEnd w:id="44"/>
      <w:bookmarkEnd w:id="45"/>
      <w:r w:rsidRPr="00555E72">
        <w:instrText xml:space="preserve">" \l 1 </w:instrText>
      </w:r>
      <w:r w:rsidRPr="00555E72">
        <w:rPr>
          <w:b w:val="0"/>
          <w:bCs w:val="0"/>
          <w:i w:val="0"/>
        </w:rPr>
        <w:fldChar w:fldCharType="end"/>
      </w:r>
      <w:r w:rsidR="00C05CAF" w:rsidRPr="00555E72">
        <w:t> </w:t>
      </w:r>
    </w:p>
    <w:p w14:paraId="27EA03BA" w14:textId="5ADF439A" w:rsidR="002C4F65" w:rsidRPr="002C4F65" w:rsidRDefault="00C05CAF" w:rsidP="00C05CAF">
      <w:pPr>
        <w:spacing w:after="240"/>
        <w:jc w:val="both"/>
      </w:pPr>
      <w:r w:rsidRPr="00555E72">
        <w:rPr>
          <w:rFonts w:ascii="Arial" w:hAnsi="Arial" w:cs="Arial"/>
          <w:b/>
          <w:bCs/>
          <w:i/>
          <w:kern w:val="32"/>
          <w:szCs w:val="32"/>
        </w:rPr>
        <w:t> </w:t>
      </w:r>
      <w:r w:rsidR="002C4F65" w:rsidRPr="00555E72">
        <w:t>What are the appropriate rate structure and rates for Sunlake Estates Utilities, L.L.C.?</w:t>
      </w:r>
    </w:p>
    <w:p w14:paraId="061D48E9" w14:textId="6C4CB8B0"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4508EBF0" w14:textId="674AB64C" w:rsidR="00555E72" w:rsidRPr="00555E72" w:rsidRDefault="00C05CAF" w:rsidP="00C05CAF">
      <w:pPr>
        <w:spacing w:after="240"/>
        <w:jc w:val="both"/>
        <w:outlineLvl w:val="0"/>
      </w:pPr>
      <w:r w:rsidRPr="00555E72">
        <w:rPr>
          <w:rFonts w:ascii="Arial" w:hAnsi="Arial" w:cs="Arial"/>
          <w:b/>
          <w:bCs/>
          <w:i/>
          <w:kern w:val="32"/>
          <w:szCs w:val="32"/>
        </w:rPr>
        <w:t> </w:t>
      </w:r>
      <w:r w:rsidR="004568C9" w:rsidRPr="004568C9">
        <w:t>The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by affidavit within 10 days of the date of the notice. (Rashawn)</w:t>
      </w:r>
    </w:p>
    <w:p w14:paraId="1815BF21" w14:textId="7C8F4B7F"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28066D12" w14:textId="623E7C9C" w:rsidR="004568C9" w:rsidRPr="004568C9" w:rsidRDefault="00086203" w:rsidP="00086203">
      <w:pPr>
        <w:jc w:val="both"/>
        <w:rPr>
          <w:rFonts w:eastAsiaTheme="minorHAnsi" w:cstheme="minorBidi"/>
          <w:szCs w:val="22"/>
        </w:rPr>
      </w:pPr>
      <w:r w:rsidRPr="00555E72">
        <w:rPr>
          <w:rFonts w:ascii="Arial" w:hAnsi="Arial" w:cs="Arial"/>
          <w:b/>
          <w:bCs/>
          <w:i/>
          <w:kern w:val="32"/>
          <w:szCs w:val="32"/>
        </w:rPr>
        <w:t> </w:t>
      </w:r>
      <w:r w:rsidR="004568C9" w:rsidRPr="004568C9">
        <w:rPr>
          <w:rFonts w:eastAsiaTheme="minorHAnsi" w:cstheme="minorBidi"/>
          <w:szCs w:val="22"/>
        </w:rPr>
        <w:t>Sunlake Estates provides water services to approximately 454 residential customers</w:t>
      </w:r>
      <w:r w:rsidR="0018358D" w:rsidRPr="0018358D">
        <w:rPr>
          <w:rFonts w:eastAsiaTheme="minorHAnsi" w:cstheme="minorBidi"/>
          <w:szCs w:val="22"/>
        </w:rPr>
        <w:t>, 8 general service customers, and 5 irrigation customers</w:t>
      </w:r>
      <w:r w:rsidR="004568C9" w:rsidRPr="004568C9">
        <w:rPr>
          <w:rFonts w:eastAsiaTheme="minorHAnsi" w:cstheme="minorBidi"/>
          <w:szCs w:val="22"/>
        </w:rPr>
        <w:t>. A review of the billing data indicated that 5 percent of the residential customer bills during the test year had zero gallons, which reflects a non-seasonal customer base. The average residential water demand was 5,892 gallons per month. The Utility’s c</w:t>
      </w:r>
      <w:r w:rsidR="004568C9" w:rsidRPr="004568C9">
        <w:rPr>
          <w:rFonts w:eastAsiaTheme="minorHAnsi" w:cstheme="minorBidi"/>
          <w:color w:val="000000"/>
          <w:szCs w:val="22"/>
        </w:rPr>
        <w:t>urrent rate structure for the water system</w:t>
      </w:r>
      <w:r w:rsidR="00574BB9">
        <w:rPr>
          <w:rFonts w:eastAsiaTheme="minorHAnsi" w:cstheme="minorBidi"/>
          <w:color w:val="000000"/>
          <w:szCs w:val="22"/>
        </w:rPr>
        <w:t xml:space="preserve"> </w:t>
      </w:r>
      <w:r w:rsidR="00E62F74">
        <w:rPr>
          <w:rFonts w:eastAsiaTheme="minorHAnsi" w:cstheme="minorBidi"/>
          <w:color w:val="000000"/>
          <w:szCs w:val="22"/>
        </w:rPr>
        <w:t>consist</w:t>
      </w:r>
      <w:r w:rsidR="00574BB9">
        <w:rPr>
          <w:rFonts w:eastAsiaTheme="minorHAnsi" w:cstheme="minorBidi"/>
          <w:color w:val="000000"/>
          <w:szCs w:val="22"/>
        </w:rPr>
        <w:t xml:space="preserve"> of a</w:t>
      </w:r>
      <w:r w:rsidR="004568C9" w:rsidRPr="004568C9">
        <w:rPr>
          <w:rFonts w:eastAsiaTheme="minorHAnsi" w:cstheme="minorBidi"/>
          <w:color w:val="000000"/>
          <w:szCs w:val="22"/>
        </w:rPr>
        <w:t xml:space="preserve"> BFC and a two-tier inclining block rate. The rate blocks are: 1) 0-5,000 gallons and 2) all usage in excess of 5,000 gallons. The general service rate structure consists of a monthly BFC and uniform gallonage charge.</w:t>
      </w:r>
    </w:p>
    <w:p w14:paraId="19931293" w14:textId="77777777" w:rsidR="004568C9" w:rsidRPr="004568C9" w:rsidRDefault="004568C9" w:rsidP="004568C9">
      <w:pPr>
        <w:jc w:val="both"/>
        <w:rPr>
          <w:rFonts w:eastAsiaTheme="minorHAnsi" w:cstheme="minorBidi"/>
          <w:szCs w:val="22"/>
        </w:rPr>
      </w:pPr>
    </w:p>
    <w:p w14:paraId="3A3C4C5F" w14:textId="77777777" w:rsidR="004568C9" w:rsidRPr="004568C9" w:rsidRDefault="004568C9" w:rsidP="004568C9">
      <w:pPr>
        <w:jc w:val="both"/>
        <w:rPr>
          <w:rFonts w:eastAsiaTheme="minorHAnsi" w:cstheme="minorBidi"/>
          <w:szCs w:val="22"/>
        </w:rPr>
      </w:pPr>
      <w:r w:rsidRPr="004568C9">
        <w:rPr>
          <w:rFonts w:eastAsiaTheme="minorHAnsi" w:cstheme="minorBidi"/>
          <w:szCs w:val="22"/>
        </w:rPr>
        <w:t>Staff performed an analysis of the Utility’s billing in order to evaluate the appropriate rate structure for the residential water customers. The goal of the evaluation was to select the rate design parameters that: (1) produce the recommended revenue requirement; (2) equitably distribute cost recovery among the Utility’s customers; (3) establish the appropriate discretionary usage threshold for restricting repression; and (4) implement, where appropriate, water conserving rate structures consistent with Commission practice.</w:t>
      </w:r>
    </w:p>
    <w:p w14:paraId="364AB07A" w14:textId="77777777" w:rsidR="004568C9" w:rsidRPr="004568C9" w:rsidRDefault="004568C9" w:rsidP="004568C9">
      <w:pPr>
        <w:jc w:val="both"/>
        <w:rPr>
          <w:rFonts w:eastAsiaTheme="minorHAnsi" w:cstheme="minorBidi"/>
          <w:szCs w:val="22"/>
        </w:rPr>
      </w:pPr>
    </w:p>
    <w:p w14:paraId="6A611B99" w14:textId="77777777" w:rsidR="004568C9" w:rsidRPr="004568C9" w:rsidRDefault="004568C9" w:rsidP="004568C9">
      <w:pPr>
        <w:jc w:val="both"/>
        <w:rPr>
          <w:rFonts w:eastAsiaTheme="minorHAnsi" w:cstheme="minorBidi"/>
          <w:szCs w:val="22"/>
        </w:rPr>
      </w:pPr>
      <w:r w:rsidRPr="004568C9">
        <w:rPr>
          <w:rFonts w:eastAsiaTheme="minorHAnsi" w:cstheme="minorBidi"/>
          <w:szCs w:val="22"/>
        </w:rPr>
        <w:t>Due to the Utility’s non-seasonal customer base, staff recommends that 40 percent of the revenues be generated from the BFC, which will provide sufficient revenues to design gallonage charges that will send the appropriate pricing signals to customers using above the non-discretionary level. The average number of people per household is 2.48;</w:t>
      </w:r>
      <w:r w:rsidRPr="004568C9">
        <w:rPr>
          <w:rFonts w:eastAsiaTheme="minorHAnsi" w:cstheme="minorBidi"/>
          <w:szCs w:val="22"/>
          <w:vertAlign w:val="superscript"/>
        </w:rPr>
        <w:footnoteReference w:id="32"/>
      </w:r>
      <w:r w:rsidRPr="004568C9">
        <w:rPr>
          <w:rFonts w:eastAsiaTheme="minorHAnsi" w:cstheme="minorBidi"/>
          <w:szCs w:val="22"/>
        </w:rPr>
        <w:t xml:space="preserve"> therefore, based on the number of people per household, 50 gallons per day, per person, and the number of days per month, the discretionary usage threshold should be 4,000 gallons per month. Staff’s review of the billing data indicates that discretionary usage above 4,000 gallons represents approximately 41 percent of the bills, which accounts for approximately 55 percent of water demand. This indicates that there are some customers with high discretionary usage above 4,000 gallons. </w:t>
      </w:r>
    </w:p>
    <w:p w14:paraId="2A6CB046" w14:textId="77777777" w:rsidR="004568C9" w:rsidRPr="004568C9" w:rsidRDefault="004568C9" w:rsidP="004568C9">
      <w:pPr>
        <w:jc w:val="both"/>
        <w:rPr>
          <w:rFonts w:eastAsiaTheme="minorHAnsi" w:cstheme="minorBidi"/>
          <w:szCs w:val="22"/>
        </w:rPr>
      </w:pPr>
    </w:p>
    <w:p w14:paraId="26B3324A" w14:textId="77777777" w:rsidR="004568C9" w:rsidRPr="004568C9" w:rsidRDefault="004568C9" w:rsidP="004568C9">
      <w:pPr>
        <w:jc w:val="both"/>
        <w:rPr>
          <w:color w:val="000000"/>
        </w:rPr>
      </w:pPr>
      <w:r w:rsidRPr="004568C9">
        <w:rPr>
          <w:rFonts w:eastAsiaTheme="minorHAnsi" w:cstheme="minorBidi"/>
          <w:szCs w:val="22"/>
        </w:rPr>
        <w:t xml:space="preserve">Staff recommends a two-tier inclining block rate structure, which includes separate gallonage charges for non-discretionary and discretionary usage for water rates. Due to the high usage above 4,000 gallons per month, staff believes that it is appropriate in this case to recommend rate factors of 1.00 in the first tier and 1.50 in the second tier because it will target those customers with higher levels of consumption. </w:t>
      </w:r>
      <w:r w:rsidRPr="004568C9">
        <w:rPr>
          <w:color w:val="000000"/>
        </w:rPr>
        <w:t>General service customers should continue to be billed a BFC and uniform gallonage charge.</w:t>
      </w:r>
    </w:p>
    <w:p w14:paraId="439D17F3" w14:textId="77777777" w:rsidR="004568C9" w:rsidRPr="004568C9" w:rsidRDefault="004568C9" w:rsidP="004568C9">
      <w:pPr>
        <w:jc w:val="both"/>
        <w:rPr>
          <w:color w:val="000000"/>
        </w:rPr>
      </w:pPr>
    </w:p>
    <w:p w14:paraId="7CACA1A9" w14:textId="70A2D705" w:rsidR="004568C9" w:rsidRPr="004568C9" w:rsidRDefault="004568C9" w:rsidP="004568C9">
      <w:pPr>
        <w:jc w:val="both"/>
        <w:rPr>
          <w:rFonts w:eastAsiaTheme="minorHAnsi" w:cstheme="minorBidi"/>
          <w:color w:val="000000"/>
          <w:szCs w:val="22"/>
        </w:rPr>
      </w:pPr>
      <w:r w:rsidRPr="004568C9">
        <w:rPr>
          <w:rFonts w:eastAsiaTheme="minorHAnsi" w:cstheme="minorBidi"/>
          <w:szCs w:val="22"/>
        </w:rPr>
        <w:t xml:space="preserve">Based on staff’s recommended revenue increase of 61.99 percent, the residential consumption can be expected to decline by 9,738,000 gallons resulting in an anticipated average residential demand of 4,121 gallons per month. Staff recommends a 30.1 percent reduction in test year residential gallons for ratesetting purposes. </w:t>
      </w:r>
      <w:r w:rsidRPr="004568C9">
        <w:rPr>
          <w:rFonts w:eastAsiaTheme="minorHAnsi" w:cstheme="minorBidi"/>
          <w:color w:val="000000"/>
          <w:szCs w:val="22"/>
        </w:rPr>
        <w:t>As a result, the corresponding reduction for purchase</w:t>
      </w:r>
      <w:r w:rsidR="00574BB9">
        <w:rPr>
          <w:rFonts w:eastAsiaTheme="minorHAnsi" w:cstheme="minorBidi"/>
          <w:color w:val="000000"/>
          <w:szCs w:val="22"/>
        </w:rPr>
        <w:t>d</w:t>
      </w:r>
      <w:r w:rsidRPr="004568C9">
        <w:rPr>
          <w:rFonts w:eastAsiaTheme="minorHAnsi" w:cstheme="minorBidi"/>
          <w:color w:val="000000"/>
          <w:szCs w:val="22"/>
        </w:rPr>
        <w:t xml:space="preserve"> power is $2,303 and $109 for RAFs to reflect the anticipated repression, which results in a post repression revenue requirement of $215,685.</w:t>
      </w:r>
    </w:p>
    <w:p w14:paraId="05C2CF2D" w14:textId="77777777" w:rsidR="004568C9" w:rsidRPr="004568C9" w:rsidRDefault="004568C9" w:rsidP="004568C9">
      <w:pPr>
        <w:jc w:val="both"/>
        <w:rPr>
          <w:rFonts w:eastAsiaTheme="minorHAnsi" w:cstheme="minorBidi"/>
          <w:szCs w:val="22"/>
        </w:rPr>
      </w:pPr>
    </w:p>
    <w:p w14:paraId="1D92B1B7" w14:textId="5BDE4E2D" w:rsidR="004568C9" w:rsidRPr="004568C9" w:rsidRDefault="004568C9" w:rsidP="004568C9">
      <w:pPr>
        <w:jc w:val="both"/>
        <w:rPr>
          <w:rFonts w:eastAsiaTheme="minorHAnsi" w:cstheme="minorBidi"/>
          <w:szCs w:val="22"/>
        </w:rPr>
      </w:pPr>
      <w:r w:rsidRPr="004568C9">
        <w:rPr>
          <w:rFonts w:eastAsiaTheme="minorHAnsi" w:cstheme="minorBidi"/>
          <w:szCs w:val="22"/>
        </w:rPr>
        <w:t>Based on the above, staff’s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 pursuant to Rule 25-30.475(1),</w:t>
      </w:r>
      <w:r w:rsidR="008A15F9">
        <w:rPr>
          <w:rFonts w:eastAsiaTheme="minorHAnsi" w:cstheme="minorBidi"/>
          <w:szCs w:val="22"/>
        </w:rPr>
        <w:t xml:space="preserve"> </w:t>
      </w:r>
      <w:r w:rsidRPr="004568C9">
        <w:rPr>
          <w:rFonts w:eastAsiaTheme="minorHAnsi" w:cstheme="minorBidi"/>
          <w:szCs w:val="22"/>
        </w:rPr>
        <w:t>F.A.C. In addition, the approved rates should not be implemented until staff has approved the proposed customer notice and the notice has been received by the customers. The Utility should provide proof of the date notice was given by affidavit within 10 days of the date of the notice.</w:t>
      </w:r>
    </w:p>
    <w:p w14:paraId="574BD3F2" w14:textId="1FB86E15" w:rsidR="00F36BC1" w:rsidRPr="00F36BC1" w:rsidRDefault="00F36BC1" w:rsidP="004F5164">
      <w:pPr>
        <w:jc w:val="both"/>
        <w:rPr>
          <w:rFonts w:eastAsiaTheme="minorHAnsi" w:cstheme="minorBidi"/>
          <w:szCs w:val="22"/>
        </w:rPr>
      </w:pPr>
    </w:p>
    <w:bookmarkEnd w:id="43"/>
    <w:p w14:paraId="02503BF2" w14:textId="130ED5B1" w:rsidR="00555E72" w:rsidRPr="00555E72" w:rsidRDefault="00555E72" w:rsidP="00555E72">
      <w:pPr>
        <w:spacing w:after="240"/>
        <w:jc w:val="both"/>
        <w:outlineLvl w:val="1"/>
        <w:rPr>
          <w:rFonts w:ascii="Arial" w:hAnsi="Arial" w:cs="Arial"/>
          <w:b/>
          <w:bCs/>
          <w:i/>
          <w:iCs/>
          <w:vanish/>
          <w:szCs w:val="28"/>
        </w:rPr>
      </w:pPr>
    </w:p>
    <w:p w14:paraId="60FA1214" w14:textId="74946B1E" w:rsidR="004736AB" w:rsidRPr="00555E72" w:rsidRDefault="004736AB" w:rsidP="004736AB">
      <w:pPr>
        <w:spacing w:after="240"/>
        <w:jc w:val="both"/>
        <w:outlineLvl w:val="1"/>
        <w:rPr>
          <w:rFonts w:ascii="Arial" w:hAnsi="Arial" w:cs="Arial"/>
          <w:b/>
          <w:bCs/>
          <w:i/>
          <w:iCs/>
          <w:szCs w:val="28"/>
        </w:rPr>
      </w:pPr>
    </w:p>
    <w:p w14:paraId="503431FD" w14:textId="1593C505" w:rsidR="00555E72" w:rsidRPr="00555E72" w:rsidRDefault="00555E72" w:rsidP="00555E72">
      <w:pPr>
        <w:spacing w:after="240"/>
        <w:jc w:val="both"/>
        <w:outlineLvl w:val="1"/>
        <w:rPr>
          <w:rFonts w:ascii="Arial" w:hAnsi="Arial" w:cs="Arial"/>
          <w:b/>
          <w:bCs/>
          <w:i/>
          <w:iCs/>
          <w:szCs w:val="28"/>
        </w:rPr>
      </w:pPr>
    </w:p>
    <w:p w14:paraId="2AF1A8DD" w14:textId="29A15157" w:rsidR="00C05CAF" w:rsidRPr="00875D78" w:rsidRDefault="00555E72" w:rsidP="00C05CAF">
      <w:pPr>
        <w:pStyle w:val="IssueHeading"/>
        <w:rPr>
          <w:vanish/>
          <w:specVanish/>
        </w:rPr>
      </w:pPr>
      <w:r w:rsidRPr="00555E72">
        <w:br w:type="page"/>
        <w:t>Iss</w:t>
      </w:r>
      <w:r w:rsidRPr="00555E72">
        <w:rPr>
          <w:noProof/>
        </w:rPr>
        <w:t xml:space="preserve">ue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11</w:t>
      </w:r>
      <w:r w:rsidR="00C8514D" w:rsidRPr="00C8514D">
        <w:rPr>
          <w:noProof/>
        </w:rPr>
        <w:fldChar w:fldCharType="end"/>
      </w:r>
      <w:r w:rsidRPr="00555E72">
        <w:rPr>
          <w:noProof/>
        </w:rPr>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46" w:name="_Toc224892273"/>
      <w:bookmarkStart w:id="47" w:name="_Toc231452279"/>
      <w:r w:rsidR="00AD1D97">
        <w:rPr>
          <w:noProof/>
        </w:rPr>
        <w:instrText>11</w:instrText>
      </w:r>
      <w:r w:rsidRPr="00555E72">
        <w:rPr>
          <w:b w:val="0"/>
          <w:bCs w:val="0"/>
          <w:i w:val="0"/>
        </w:rPr>
        <w:fldChar w:fldCharType="end"/>
      </w:r>
      <w:r w:rsidRPr="00555E72">
        <w:tab/>
        <w:instrText>Miscellaneous Service Charges</w:instrText>
      </w:r>
      <w:bookmarkEnd w:id="46"/>
      <w:bookmarkEnd w:id="47"/>
      <w:r w:rsidRPr="00555E72">
        <w:instrText xml:space="preserve">" \l 1 </w:instrText>
      </w:r>
      <w:r w:rsidRPr="00555E72">
        <w:rPr>
          <w:b w:val="0"/>
          <w:bCs w:val="0"/>
          <w:i w:val="0"/>
        </w:rPr>
        <w:fldChar w:fldCharType="end"/>
      </w:r>
      <w:r w:rsidR="00C05CAF" w:rsidRPr="00555E72">
        <w:t> </w:t>
      </w:r>
    </w:p>
    <w:p w14:paraId="6FE14029" w14:textId="13E7F9D5" w:rsidR="004F5164" w:rsidRDefault="00C05CAF" w:rsidP="00C05CAF">
      <w:pPr>
        <w:spacing w:after="240"/>
        <w:jc w:val="both"/>
      </w:pPr>
      <w:r w:rsidRPr="00555E72">
        <w:rPr>
          <w:rFonts w:ascii="Arial" w:hAnsi="Arial" w:cs="Arial"/>
          <w:b/>
          <w:bCs/>
          <w:i/>
          <w:kern w:val="32"/>
          <w:szCs w:val="32"/>
        </w:rPr>
        <w:t> </w:t>
      </w:r>
      <w:r w:rsidR="004F5164" w:rsidRPr="00555E72">
        <w:t>What are the appropriate revisions to miscellaneous service charges for Sunlake Estates Utilities, L.L.C.?</w:t>
      </w:r>
    </w:p>
    <w:p w14:paraId="48B6F71D" w14:textId="617FB592"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7ABACF9B" w14:textId="655825C3" w:rsidR="00555E72" w:rsidRPr="007D7227" w:rsidRDefault="00C05CAF" w:rsidP="00C05CAF">
      <w:pPr>
        <w:spacing w:after="240"/>
        <w:jc w:val="both"/>
        <w:rPr>
          <w:rFonts w:ascii="Arial" w:hAnsi="Arial" w:cs="Arial"/>
          <w:b/>
          <w:bCs/>
          <w:i/>
          <w:iCs/>
          <w:szCs w:val="28"/>
        </w:rPr>
      </w:pPr>
      <w:r w:rsidRPr="00555E72">
        <w:rPr>
          <w:rFonts w:ascii="Arial" w:hAnsi="Arial" w:cs="Arial"/>
          <w:b/>
          <w:bCs/>
          <w:i/>
          <w:kern w:val="32"/>
          <w:szCs w:val="32"/>
        </w:rPr>
        <w:t> </w:t>
      </w:r>
      <w:r w:rsidR="004F5164">
        <w:t xml:space="preserve">The appropriate revisions to miscellaneous service charges are to remove the initial connection and normal reconnection charges and update the definition of the premises visit charge to be consistent with Rule 25-30.460, F.A.C. </w:t>
      </w:r>
      <w:r w:rsidR="004F5164" w:rsidRPr="00BD1E34">
        <w:t xml:space="preserve">The Utility should be required to file a proposed customer notice to reflect the </w:t>
      </w:r>
      <w:r w:rsidR="004F5164">
        <w:t xml:space="preserve">removal of those </w:t>
      </w:r>
      <w:r w:rsidR="004F5164" w:rsidRPr="00BD1E34">
        <w:t xml:space="preserve">charges. The </w:t>
      </w:r>
      <w:r w:rsidR="004F5164">
        <w:t>changes</w:t>
      </w:r>
      <w:r w:rsidR="004F5164" w:rsidRPr="00BD1E34">
        <w:t xml:space="preserve"> should be effective for service rendered or connections made on or after the stamped approval date on the tariff sheet pursuant to Rule 25-30.475, F.A.C. In addition, the tariff sheets </w:t>
      </w:r>
      <w:r w:rsidR="004F5164">
        <w:t>should</w:t>
      </w:r>
      <w:r w:rsidR="004F5164" w:rsidRPr="00BD1E34">
        <w:t xml:space="preserve"> be approved upon staff’s verification that the tariffs are consistent with the Commission’s decision and that the proposed customer notice is adequate</w:t>
      </w:r>
      <w:r w:rsidR="004F5164">
        <w:t>. (Rashawn)</w:t>
      </w:r>
    </w:p>
    <w:p w14:paraId="06C77F7C" w14:textId="0A12EDD1"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1D823527" w14:textId="2E727C88" w:rsidR="004F5164" w:rsidRPr="00F36BC1" w:rsidRDefault="00086203" w:rsidP="00086203">
      <w:pPr>
        <w:jc w:val="both"/>
        <w:rPr>
          <w:rFonts w:eastAsiaTheme="minorHAnsi" w:cstheme="minorBidi"/>
          <w:szCs w:val="22"/>
        </w:rPr>
      </w:pPr>
      <w:r w:rsidRPr="00555E72">
        <w:rPr>
          <w:rFonts w:ascii="Arial" w:hAnsi="Arial" w:cs="Arial"/>
          <w:b/>
          <w:bCs/>
          <w:i/>
          <w:kern w:val="32"/>
          <w:szCs w:val="32"/>
        </w:rPr>
        <w:t> </w:t>
      </w:r>
      <w:r w:rsidR="004F5164" w:rsidRPr="00F36BC1">
        <w:rPr>
          <w:rFonts w:eastAsiaTheme="minorHAnsi" w:cstheme="minorBidi"/>
          <w:szCs w:val="22"/>
        </w:rPr>
        <w:t xml:space="preserve">The Utility did not request to revise its existing miscellaneous service charges. Section 367.091, F.S., authorizes the Commission to establish, increase, or change rate or charge other than monthly rates or service availability charges. Rule 25-30.460, F.A.C., does not allow for initial connection and normal reconnection charges. The Utility’s initial connection and normal reconnection charges are obsolete and inconsistent with the rule. The definitions for initial connection charges and normal reconnection charges were subsumed in the definition of the premises visit charge. Based on the above, staff recommends that the initial connection and normal reconnection charges be removed, and the definition for the premises visit charge be updated to comply with Rule 25-30.460, F.A.C. The Utility’s existing late payment charge and non-sufficient funds charge should remain unchanged. Shown below in Table </w:t>
      </w:r>
      <w:r w:rsidR="004F5164">
        <w:rPr>
          <w:rFonts w:eastAsiaTheme="minorHAnsi" w:cstheme="minorBidi"/>
          <w:szCs w:val="22"/>
        </w:rPr>
        <w:t>1</w:t>
      </w:r>
      <w:r w:rsidR="007F43CF">
        <w:rPr>
          <w:rFonts w:eastAsiaTheme="minorHAnsi" w:cstheme="minorBidi"/>
          <w:szCs w:val="22"/>
        </w:rPr>
        <w:t>1</w:t>
      </w:r>
      <w:r w:rsidR="004F5164" w:rsidRPr="00F36BC1">
        <w:rPr>
          <w:rFonts w:eastAsiaTheme="minorHAnsi" w:cstheme="minorBidi"/>
          <w:szCs w:val="22"/>
        </w:rPr>
        <w:t xml:space="preserve">-1 are the existing charges and in Table </w:t>
      </w:r>
      <w:r w:rsidR="004F5164">
        <w:rPr>
          <w:rFonts w:eastAsiaTheme="minorHAnsi" w:cstheme="minorBidi"/>
          <w:szCs w:val="22"/>
        </w:rPr>
        <w:t>1</w:t>
      </w:r>
      <w:r w:rsidR="007F43CF">
        <w:rPr>
          <w:rFonts w:eastAsiaTheme="minorHAnsi" w:cstheme="minorBidi"/>
          <w:szCs w:val="22"/>
        </w:rPr>
        <w:t>1</w:t>
      </w:r>
      <w:r w:rsidR="004F5164" w:rsidRPr="00F36BC1">
        <w:rPr>
          <w:rFonts w:eastAsiaTheme="minorHAnsi" w:cstheme="minorBidi"/>
          <w:szCs w:val="22"/>
        </w:rPr>
        <w:t>-2 are staff’s recommended charges.</w:t>
      </w:r>
    </w:p>
    <w:p w14:paraId="273DD556" w14:textId="77777777" w:rsidR="004F5164" w:rsidRPr="00F36BC1" w:rsidRDefault="004F5164" w:rsidP="004F5164">
      <w:pPr>
        <w:jc w:val="both"/>
        <w:rPr>
          <w:rFonts w:eastAsiaTheme="minorHAnsi" w:cstheme="minorBidi"/>
          <w:szCs w:val="22"/>
        </w:rPr>
      </w:pPr>
    </w:p>
    <w:p w14:paraId="0A2E189D" w14:textId="7FC784A9" w:rsidR="004F5164" w:rsidRPr="00F36BC1" w:rsidRDefault="004F5164" w:rsidP="004F5164">
      <w:pPr>
        <w:jc w:val="center"/>
        <w:rPr>
          <w:rFonts w:ascii="Arial" w:hAnsi="Arial" w:cs="Arial"/>
          <w:b/>
          <w:u w:val="thick"/>
        </w:rPr>
      </w:pPr>
      <w:r w:rsidRPr="00F36BC1">
        <w:rPr>
          <w:rFonts w:ascii="Arial" w:hAnsi="Arial"/>
          <w:b/>
        </w:rPr>
        <w:t xml:space="preserve">Table </w:t>
      </w:r>
      <w:r>
        <w:rPr>
          <w:rFonts w:ascii="Arial" w:hAnsi="Arial"/>
          <w:b/>
        </w:rPr>
        <w:t>1</w:t>
      </w:r>
      <w:r w:rsidR="007F43CF">
        <w:rPr>
          <w:rFonts w:ascii="Arial" w:hAnsi="Arial"/>
          <w:b/>
        </w:rPr>
        <w:t>1</w:t>
      </w:r>
      <w:r w:rsidRPr="00F36BC1">
        <w:rPr>
          <w:rFonts w:ascii="Arial" w:hAnsi="Arial"/>
          <w:b/>
        </w:rPr>
        <w:t>-1</w:t>
      </w:r>
    </w:p>
    <w:p w14:paraId="257306BE" w14:textId="77777777" w:rsidR="004F5164" w:rsidRPr="00F36BC1" w:rsidRDefault="004F5164" w:rsidP="004F5164">
      <w:pPr>
        <w:jc w:val="center"/>
      </w:pPr>
      <w:r w:rsidRPr="00F36BC1">
        <w:rPr>
          <w:rFonts w:ascii="Arial" w:hAnsi="Arial"/>
          <w:b/>
        </w:rPr>
        <w:t>Existing Utility Charges</w:t>
      </w:r>
    </w:p>
    <w:tbl>
      <w:tblPr>
        <w:tblStyle w:val="TableGrid12"/>
        <w:tblW w:w="7075" w:type="dxa"/>
        <w:jc w:val="center"/>
        <w:tblLook w:val="04A0" w:firstRow="1" w:lastRow="0" w:firstColumn="1" w:lastColumn="0" w:noHBand="0" w:noVBand="1"/>
      </w:tblPr>
      <w:tblGrid>
        <w:gridCol w:w="4483"/>
        <w:gridCol w:w="1172"/>
        <w:gridCol w:w="1420"/>
      </w:tblGrid>
      <w:tr w:rsidR="004F5164" w:rsidRPr="008B5218" w14:paraId="4A422647" w14:textId="77777777" w:rsidTr="00486441">
        <w:trPr>
          <w:trHeight w:val="260"/>
          <w:jc w:val="center"/>
        </w:trPr>
        <w:tc>
          <w:tcPr>
            <w:tcW w:w="4483" w:type="dxa"/>
            <w:tcBorders>
              <w:top w:val="single" w:sz="4" w:space="0" w:color="auto"/>
              <w:left w:val="single" w:sz="4" w:space="0" w:color="auto"/>
              <w:bottom w:val="single" w:sz="4" w:space="0" w:color="auto"/>
              <w:right w:val="single" w:sz="4" w:space="0" w:color="auto"/>
            </w:tcBorders>
            <w:vAlign w:val="center"/>
          </w:tcPr>
          <w:p w14:paraId="48D67A58" w14:textId="403FB07C" w:rsidR="004F5164" w:rsidRPr="008B5218" w:rsidRDefault="00486441" w:rsidP="00486441">
            <w:pPr>
              <w:rPr>
                <w:rFonts w:ascii="Times New Roman" w:hAnsi="Times New Roman" w:cs="Times New Roman"/>
              </w:rPr>
            </w:pPr>
            <w:r>
              <w:rPr>
                <w:rFonts w:ascii="Times New Roman" w:hAnsi="Times New Roman" w:cs="Times New Roman"/>
              </w:rPr>
              <w:t>Charge Type</w:t>
            </w:r>
          </w:p>
        </w:tc>
        <w:tc>
          <w:tcPr>
            <w:tcW w:w="1172" w:type="dxa"/>
            <w:tcBorders>
              <w:top w:val="single" w:sz="4" w:space="0" w:color="auto"/>
              <w:left w:val="single" w:sz="4" w:space="0" w:color="auto"/>
              <w:bottom w:val="single" w:sz="4" w:space="0" w:color="auto"/>
              <w:right w:val="single" w:sz="4" w:space="0" w:color="auto"/>
            </w:tcBorders>
            <w:vAlign w:val="bottom"/>
            <w:hideMark/>
          </w:tcPr>
          <w:p w14:paraId="67205B35" w14:textId="77777777" w:rsidR="004F5164" w:rsidRPr="008B5218" w:rsidRDefault="004F5164" w:rsidP="00A117F9">
            <w:pPr>
              <w:jc w:val="center"/>
              <w:rPr>
                <w:rFonts w:ascii="Times New Roman" w:hAnsi="Times New Roman" w:cs="Times New Roman"/>
                <w:u w:val="single"/>
              </w:rPr>
            </w:pPr>
            <w:r w:rsidRPr="008B5218">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5F57E6E7" w14:textId="77777777" w:rsidR="004F5164" w:rsidRPr="008B5218" w:rsidRDefault="004F5164" w:rsidP="00A117F9">
            <w:pPr>
              <w:jc w:val="center"/>
              <w:rPr>
                <w:rFonts w:ascii="Times New Roman" w:hAnsi="Times New Roman" w:cs="Times New Roman"/>
                <w:u w:val="single"/>
              </w:rPr>
            </w:pPr>
            <w:r w:rsidRPr="008B5218">
              <w:rPr>
                <w:rFonts w:ascii="Times New Roman" w:hAnsi="Times New Roman" w:cs="Times New Roman"/>
                <w:u w:val="single"/>
              </w:rPr>
              <w:t>After Hours</w:t>
            </w:r>
          </w:p>
        </w:tc>
      </w:tr>
      <w:tr w:rsidR="004F5164" w:rsidRPr="008B5218" w14:paraId="56792E60"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66C33D05"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6B08D0BD"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4C3CE064"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r w:rsidR="004F5164" w:rsidRPr="008B5218" w14:paraId="2F9D6D6F"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01F4EEBF"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2C77CF02"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0B4D4D5C"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r w:rsidR="004F5164" w:rsidRPr="008B5218" w14:paraId="2D1208C7"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457BF8D7"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Violation Reconnection Charge</w:t>
            </w:r>
          </w:p>
        </w:tc>
        <w:tc>
          <w:tcPr>
            <w:tcW w:w="1172" w:type="dxa"/>
            <w:tcBorders>
              <w:top w:val="single" w:sz="4" w:space="0" w:color="auto"/>
              <w:left w:val="single" w:sz="4" w:space="0" w:color="auto"/>
              <w:bottom w:val="single" w:sz="4" w:space="0" w:color="auto"/>
              <w:right w:val="single" w:sz="4" w:space="0" w:color="auto"/>
            </w:tcBorders>
          </w:tcPr>
          <w:p w14:paraId="40062ED1"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tcPr>
          <w:p w14:paraId="483ED22E"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r w:rsidR="004F5164" w:rsidRPr="008B5218" w14:paraId="51808AFE"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27E77A82"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76539A40"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00517EF7"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bl>
    <w:p w14:paraId="4B611422" w14:textId="77777777" w:rsidR="004F5164" w:rsidRPr="00F36BC1" w:rsidRDefault="004F5164" w:rsidP="004F5164">
      <w:pPr>
        <w:rPr>
          <w:rFonts w:ascii="Arial" w:hAnsi="Arial"/>
          <w:b/>
          <w:u w:val="thick"/>
        </w:rPr>
      </w:pPr>
    </w:p>
    <w:p w14:paraId="664E26C1" w14:textId="0B9F372D" w:rsidR="004F5164" w:rsidRPr="00F36BC1" w:rsidRDefault="004F5164" w:rsidP="004F5164">
      <w:pPr>
        <w:jc w:val="center"/>
        <w:rPr>
          <w:rFonts w:ascii="Arial" w:hAnsi="Arial" w:cs="Arial"/>
          <w:b/>
          <w:u w:val="thick"/>
        </w:rPr>
      </w:pPr>
      <w:r w:rsidRPr="00F36BC1">
        <w:rPr>
          <w:rFonts w:ascii="Arial" w:hAnsi="Arial"/>
          <w:b/>
        </w:rPr>
        <w:t xml:space="preserve">Table </w:t>
      </w:r>
      <w:r>
        <w:rPr>
          <w:rFonts w:ascii="Arial" w:hAnsi="Arial"/>
          <w:b/>
        </w:rPr>
        <w:t>1</w:t>
      </w:r>
      <w:r w:rsidR="007F43CF">
        <w:rPr>
          <w:rFonts w:ascii="Arial" w:hAnsi="Arial"/>
          <w:b/>
        </w:rPr>
        <w:t>1</w:t>
      </w:r>
      <w:r w:rsidRPr="00F36BC1">
        <w:rPr>
          <w:rFonts w:ascii="Arial" w:hAnsi="Arial"/>
          <w:b/>
        </w:rPr>
        <w:t>-2</w:t>
      </w:r>
    </w:p>
    <w:p w14:paraId="5F31A21D" w14:textId="77777777" w:rsidR="004F5164" w:rsidRPr="00F36BC1" w:rsidRDefault="004F5164" w:rsidP="004F5164">
      <w:pPr>
        <w:jc w:val="center"/>
      </w:pPr>
      <w:r w:rsidRPr="00F36BC1">
        <w:rPr>
          <w:rFonts w:ascii="Arial" w:hAnsi="Arial"/>
          <w:b/>
        </w:rPr>
        <w:t>Staff’s Recommended Charges</w:t>
      </w:r>
    </w:p>
    <w:tbl>
      <w:tblPr>
        <w:tblStyle w:val="TableGrid12"/>
        <w:tblW w:w="7075" w:type="dxa"/>
        <w:jc w:val="center"/>
        <w:tblLook w:val="04A0" w:firstRow="1" w:lastRow="0" w:firstColumn="1" w:lastColumn="0" w:noHBand="0" w:noVBand="1"/>
      </w:tblPr>
      <w:tblGrid>
        <w:gridCol w:w="4483"/>
        <w:gridCol w:w="1172"/>
        <w:gridCol w:w="1420"/>
      </w:tblGrid>
      <w:tr w:rsidR="004F5164" w:rsidRPr="008B5218" w14:paraId="079445A5" w14:textId="77777777" w:rsidTr="00486441">
        <w:trPr>
          <w:trHeight w:val="290"/>
          <w:jc w:val="center"/>
        </w:trPr>
        <w:tc>
          <w:tcPr>
            <w:tcW w:w="4483" w:type="dxa"/>
            <w:tcBorders>
              <w:top w:val="single" w:sz="4" w:space="0" w:color="auto"/>
              <w:left w:val="single" w:sz="4" w:space="0" w:color="auto"/>
              <w:bottom w:val="single" w:sz="4" w:space="0" w:color="auto"/>
              <w:right w:val="single" w:sz="4" w:space="0" w:color="auto"/>
            </w:tcBorders>
            <w:vAlign w:val="center"/>
          </w:tcPr>
          <w:p w14:paraId="0E2510E0" w14:textId="62B0B20A" w:rsidR="004F5164" w:rsidRPr="008B5218" w:rsidRDefault="00486441" w:rsidP="00486441">
            <w:pPr>
              <w:rPr>
                <w:rFonts w:ascii="Times New Roman" w:hAnsi="Times New Roman" w:cs="Times New Roman"/>
              </w:rPr>
            </w:pPr>
            <w:r>
              <w:rPr>
                <w:rFonts w:ascii="Times New Roman" w:hAnsi="Times New Roman" w:cs="Times New Roman"/>
              </w:rPr>
              <w:t>Charge Type</w:t>
            </w:r>
          </w:p>
        </w:tc>
        <w:tc>
          <w:tcPr>
            <w:tcW w:w="1172" w:type="dxa"/>
            <w:tcBorders>
              <w:top w:val="single" w:sz="4" w:space="0" w:color="auto"/>
              <w:left w:val="single" w:sz="4" w:space="0" w:color="auto"/>
              <w:bottom w:val="single" w:sz="4" w:space="0" w:color="auto"/>
              <w:right w:val="single" w:sz="4" w:space="0" w:color="auto"/>
            </w:tcBorders>
            <w:vAlign w:val="bottom"/>
            <w:hideMark/>
          </w:tcPr>
          <w:p w14:paraId="3F0508CA" w14:textId="77777777" w:rsidR="004F5164" w:rsidRPr="008B5218" w:rsidRDefault="004F5164" w:rsidP="00A117F9">
            <w:pPr>
              <w:jc w:val="center"/>
              <w:rPr>
                <w:rFonts w:ascii="Times New Roman" w:hAnsi="Times New Roman" w:cs="Times New Roman"/>
                <w:u w:val="single"/>
              </w:rPr>
            </w:pPr>
            <w:r w:rsidRPr="008B5218">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3F2EF5B0" w14:textId="77777777" w:rsidR="004F5164" w:rsidRPr="008B5218" w:rsidRDefault="004F5164" w:rsidP="00A117F9">
            <w:pPr>
              <w:jc w:val="center"/>
              <w:rPr>
                <w:rFonts w:ascii="Times New Roman" w:hAnsi="Times New Roman" w:cs="Times New Roman"/>
                <w:u w:val="single"/>
              </w:rPr>
            </w:pPr>
            <w:r w:rsidRPr="008B5218">
              <w:rPr>
                <w:rFonts w:ascii="Times New Roman" w:hAnsi="Times New Roman" w:cs="Times New Roman"/>
                <w:u w:val="single"/>
              </w:rPr>
              <w:t>After Hours</w:t>
            </w:r>
          </w:p>
        </w:tc>
      </w:tr>
      <w:tr w:rsidR="004F5164" w:rsidRPr="008B5218" w14:paraId="197858BF"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5E408336"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Violation Reconnection Charge</w:t>
            </w:r>
          </w:p>
        </w:tc>
        <w:tc>
          <w:tcPr>
            <w:tcW w:w="1172" w:type="dxa"/>
            <w:tcBorders>
              <w:top w:val="single" w:sz="4" w:space="0" w:color="auto"/>
              <w:left w:val="single" w:sz="4" w:space="0" w:color="auto"/>
              <w:bottom w:val="single" w:sz="4" w:space="0" w:color="auto"/>
              <w:right w:val="single" w:sz="4" w:space="0" w:color="auto"/>
            </w:tcBorders>
          </w:tcPr>
          <w:p w14:paraId="6BF69844"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tcPr>
          <w:p w14:paraId="6E3C46E3"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r w:rsidR="004F5164" w:rsidRPr="008B5218" w14:paraId="2295F3D6" w14:textId="77777777" w:rsidTr="00A117F9">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38F1489E" w14:textId="77777777" w:rsidR="004F5164" w:rsidRPr="008B5218" w:rsidRDefault="004F5164" w:rsidP="00A117F9">
            <w:pPr>
              <w:rPr>
                <w:rFonts w:ascii="Times New Roman" w:hAnsi="Times New Roman" w:cs="Times New Roman"/>
              </w:rPr>
            </w:pPr>
            <w:r w:rsidRPr="008B5218">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1B7B95D7"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6F3014AC" w14:textId="77777777" w:rsidR="004F5164" w:rsidRPr="008B5218" w:rsidRDefault="004F5164" w:rsidP="00486441">
            <w:pPr>
              <w:jc w:val="right"/>
              <w:rPr>
                <w:rFonts w:ascii="Times New Roman" w:hAnsi="Times New Roman" w:cs="Times New Roman"/>
              </w:rPr>
            </w:pPr>
            <w:r w:rsidRPr="008B5218">
              <w:rPr>
                <w:rFonts w:ascii="Times New Roman" w:hAnsi="Times New Roman" w:cs="Times New Roman"/>
              </w:rPr>
              <w:t>$42.00</w:t>
            </w:r>
          </w:p>
        </w:tc>
      </w:tr>
    </w:tbl>
    <w:p w14:paraId="059FFF9D" w14:textId="77777777" w:rsidR="00486441" w:rsidRDefault="00486441" w:rsidP="004F5164">
      <w:pPr>
        <w:rPr>
          <w:rFonts w:ascii="Arial" w:hAnsi="Arial"/>
          <w:b/>
        </w:rPr>
      </w:pPr>
    </w:p>
    <w:p w14:paraId="043539EB" w14:textId="77777777" w:rsidR="00086203" w:rsidRDefault="00086203" w:rsidP="004F5164">
      <w:pPr>
        <w:rPr>
          <w:rFonts w:ascii="Arial" w:hAnsi="Arial"/>
          <w:b/>
        </w:rPr>
      </w:pPr>
    </w:p>
    <w:p w14:paraId="4EE5E2BF" w14:textId="77777777" w:rsidR="00086203" w:rsidRDefault="00086203" w:rsidP="004F5164">
      <w:pPr>
        <w:rPr>
          <w:rFonts w:ascii="Arial" w:hAnsi="Arial"/>
          <w:b/>
        </w:rPr>
      </w:pPr>
    </w:p>
    <w:p w14:paraId="7D050BCC" w14:textId="77777777" w:rsidR="00086203" w:rsidRDefault="00086203" w:rsidP="004F5164">
      <w:pPr>
        <w:rPr>
          <w:rFonts w:ascii="Arial" w:hAnsi="Arial"/>
          <w:b/>
        </w:rPr>
      </w:pPr>
    </w:p>
    <w:p w14:paraId="41659948" w14:textId="77777777" w:rsidR="00086203" w:rsidRDefault="00086203" w:rsidP="004F5164">
      <w:pPr>
        <w:rPr>
          <w:rFonts w:ascii="Arial" w:hAnsi="Arial"/>
          <w:b/>
        </w:rPr>
      </w:pPr>
    </w:p>
    <w:p w14:paraId="49DB57A2" w14:textId="77777777" w:rsidR="00086203" w:rsidRDefault="00086203" w:rsidP="004F5164">
      <w:pPr>
        <w:rPr>
          <w:rFonts w:ascii="Arial" w:hAnsi="Arial"/>
          <w:b/>
        </w:rPr>
      </w:pPr>
    </w:p>
    <w:p w14:paraId="5EACBF8F" w14:textId="77777777" w:rsidR="00086203" w:rsidRPr="00F36BC1" w:rsidRDefault="00086203" w:rsidP="004F5164">
      <w:pPr>
        <w:rPr>
          <w:rFonts w:ascii="Arial" w:hAnsi="Arial"/>
          <w:b/>
        </w:rPr>
      </w:pPr>
    </w:p>
    <w:p w14:paraId="1B498759" w14:textId="77777777" w:rsidR="004F5164" w:rsidRPr="00F36BC1" w:rsidRDefault="004F5164" w:rsidP="004F5164">
      <w:pPr>
        <w:rPr>
          <w:rFonts w:ascii="Arial" w:hAnsi="Arial"/>
          <w:b/>
        </w:rPr>
      </w:pPr>
      <w:r w:rsidRPr="00F36BC1">
        <w:rPr>
          <w:rFonts w:ascii="Arial" w:hAnsi="Arial"/>
          <w:b/>
        </w:rPr>
        <w:t>Conclusion</w:t>
      </w:r>
    </w:p>
    <w:p w14:paraId="394A43A2" w14:textId="6EDA146E" w:rsidR="004736AB" w:rsidRPr="007D7227" w:rsidRDefault="004F5164" w:rsidP="004F5164">
      <w:pPr>
        <w:spacing w:after="240"/>
        <w:jc w:val="both"/>
        <w:outlineLvl w:val="1"/>
        <w:rPr>
          <w:rFonts w:ascii="Arial" w:hAnsi="Arial" w:cs="Arial"/>
          <w:b/>
          <w:bCs/>
          <w:i/>
          <w:iCs/>
          <w:vanish/>
          <w:szCs w:val="28"/>
        </w:rPr>
      </w:pPr>
      <w:r w:rsidRPr="00F36BC1">
        <w:rPr>
          <w:rFonts w:eastAsiaTheme="minorHAnsi" w:cstheme="minorBidi"/>
          <w:szCs w:val="22"/>
        </w:rPr>
        <w:t>Based on the above, staff recommends that the appropriate revisions to miscellaneous service charges are to remove the initial connection and normal reconnection charges and update the definition of the premises visit charge to be consistent with Rule 25-30.460, F.A.C. The Utility should be required to file a proposed customer notice to reflect the removal of those charges. The changes should be effective for service rendered or connections made on or after the stamped approval date on the tariff sheet pursuant to Rule 25-30.475, F.A.C. In addition, the tariff sheets should be approved upon staff’s verification that the tariffs are consistent with the Commission’s decision and that the proposed customer notice is adequate.</w:t>
      </w:r>
    </w:p>
    <w:p w14:paraId="5E117F12" w14:textId="2716DAF8" w:rsidR="00C05CAF" w:rsidRPr="00875D78" w:rsidRDefault="00555E72" w:rsidP="00C05CAF">
      <w:pPr>
        <w:pStyle w:val="IssueHeading"/>
        <w:rPr>
          <w:vanish/>
          <w:specVanish/>
        </w:rPr>
      </w:pPr>
      <w:r w:rsidRPr="00555E72">
        <w:rPr>
          <w:iCs/>
          <w:szCs w:val="28"/>
        </w:rPr>
        <w:br w:type="page"/>
        <w:t>Issu</w:t>
      </w:r>
      <w:r w:rsidRPr="00C8514D">
        <w:rPr>
          <w:noProof/>
        </w:rPr>
        <w:t xml:space="preserve">e </w:t>
      </w:r>
      <w:r w:rsidRPr="00C8514D">
        <w:rPr>
          <w:noProof/>
        </w:rPr>
        <w:fldChar w:fldCharType="begin"/>
      </w:r>
      <w:r w:rsidRPr="00C8514D">
        <w:rPr>
          <w:noProof/>
        </w:rPr>
        <w:instrText xml:space="preserve"> SEQ Issue \* MERGEFORMAT </w:instrText>
      </w:r>
      <w:r w:rsidRPr="00C8514D">
        <w:rPr>
          <w:noProof/>
        </w:rPr>
        <w:fldChar w:fldCharType="separate"/>
      </w:r>
      <w:r w:rsidR="00AD1D97">
        <w:rPr>
          <w:noProof/>
        </w:rPr>
        <w:t>12</w:t>
      </w:r>
      <w:r w:rsidRPr="00C8514D">
        <w:rPr>
          <w:noProof/>
        </w:rPr>
        <w:fldChar w:fldCharType="end"/>
      </w:r>
      <w:r w:rsidRPr="00C8514D">
        <w:rPr>
          <w:noProof/>
        </w:rPr>
        <w:t>:</w:t>
      </w:r>
      <w:r w:rsidR="00C05CAF" w:rsidRPr="00555E72">
        <w:rPr>
          <w:b w:val="0"/>
          <w:bCs w:val="0"/>
          <w:i w:val="0"/>
          <w:iCs/>
          <w:szCs w:val="28"/>
        </w:rPr>
        <w:fldChar w:fldCharType="begin"/>
      </w:r>
      <w:r w:rsidR="00C05CAF" w:rsidRPr="00555E72">
        <w:rPr>
          <w:iCs/>
          <w:szCs w:val="28"/>
        </w:rPr>
        <w:instrText xml:space="preserve"> TC "</w:instrText>
      </w:r>
      <w:r w:rsidR="00C05CAF" w:rsidRPr="00555E72">
        <w:rPr>
          <w:b w:val="0"/>
          <w:bCs w:val="0"/>
          <w:i w:val="0"/>
          <w:iCs/>
          <w:szCs w:val="28"/>
        </w:rPr>
        <w:fldChar w:fldCharType="begin"/>
      </w:r>
      <w:r w:rsidR="00C05CAF" w:rsidRPr="00555E72">
        <w:rPr>
          <w:iCs/>
          <w:szCs w:val="28"/>
        </w:rPr>
        <w:instrText xml:space="preserve"> SEQ issue \c </w:instrText>
      </w:r>
      <w:r w:rsidR="00C05CAF" w:rsidRPr="00555E72">
        <w:rPr>
          <w:b w:val="0"/>
          <w:bCs w:val="0"/>
          <w:i w:val="0"/>
          <w:iCs/>
          <w:szCs w:val="28"/>
        </w:rPr>
        <w:fldChar w:fldCharType="separate"/>
      </w:r>
      <w:bookmarkStart w:id="48" w:name="_Toc224892274"/>
      <w:bookmarkStart w:id="49" w:name="_Toc231452280"/>
      <w:r w:rsidR="00AD1D97">
        <w:rPr>
          <w:iCs/>
          <w:noProof/>
          <w:szCs w:val="28"/>
        </w:rPr>
        <w:instrText>12</w:instrText>
      </w:r>
      <w:r w:rsidR="00C05CAF" w:rsidRPr="00555E72">
        <w:rPr>
          <w:b w:val="0"/>
          <w:bCs w:val="0"/>
          <w:i w:val="0"/>
          <w:iCs/>
          <w:szCs w:val="28"/>
        </w:rPr>
        <w:fldChar w:fldCharType="end"/>
      </w:r>
      <w:r w:rsidR="00C05CAF" w:rsidRPr="00555E72">
        <w:rPr>
          <w:iCs/>
          <w:szCs w:val="28"/>
        </w:rPr>
        <w:tab/>
        <w:instrText>Four-Year Rate Reduction</w:instrText>
      </w:r>
      <w:bookmarkEnd w:id="48"/>
      <w:bookmarkEnd w:id="49"/>
      <w:r w:rsidR="00C05CAF" w:rsidRPr="00555E72">
        <w:rPr>
          <w:iCs/>
          <w:szCs w:val="28"/>
        </w:rPr>
        <w:instrText xml:space="preserve">" \l 1 </w:instrText>
      </w:r>
      <w:r w:rsidR="00C05CAF" w:rsidRPr="00555E72">
        <w:rPr>
          <w:b w:val="0"/>
          <w:bCs w:val="0"/>
          <w:i w:val="0"/>
          <w:iCs/>
          <w:szCs w:val="28"/>
        </w:rPr>
        <w:fldChar w:fldCharType="end"/>
      </w:r>
      <w:r w:rsidR="00C05CAF" w:rsidRPr="00555E72">
        <w:t> </w:t>
      </w:r>
    </w:p>
    <w:p w14:paraId="462C2924" w14:textId="6044C255" w:rsidR="00555E72" w:rsidRPr="00555E72" w:rsidRDefault="00C05CAF" w:rsidP="00C05CAF">
      <w:pPr>
        <w:spacing w:after="240"/>
        <w:jc w:val="both"/>
        <w:outlineLvl w:val="1"/>
      </w:pPr>
      <w:r w:rsidRPr="00555E72">
        <w:rPr>
          <w:rFonts w:ascii="Arial" w:hAnsi="Arial" w:cs="Arial"/>
          <w:b/>
          <w:bCs/>
          <w:i/>
          <w:kern w:val="32"/>
          <w:szCs w:val="32"/>
        </w:rPr>
        <w:t> </w:t>
      </w:r>
      <w:r w:rsidR="004F5164" w:rsidRPr="00555E72">
        <w:t>What is the appropriate amount by which rates should be reduced four years after the published effective date to reflect the removal of the amortized rate case expense?</w:t>
      </w:r>
    </w:p>
    <w:p w14:paraId="1DA65FEB" w14:textId="2FA677EE"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2733160F" w14:textId="4572A738" w:rsidR="00555E72" w:rsidRPr="00555E72" w:rsidRDefault="00C05CAF" w:rsidP="00C05CAF">
      <w:pPr>
        <w:spacing w:after="240"/>
        <w:jc w:val="both"/>
        <w:outlineLvl w:val="1"/>
      </w:pPr>
      <w:r w:rsidRPr="00555E72">
        <w:rPr>
          <w:rFonts w:ascii="Arial" w:hAnsi="Arial" w:cs="Arial"/>
          <w:b/>
          <w:bCs/>
          <w:i/>
          <w:kern w:val="32"/>
          <w:szCs w:val="32"/>
        </w:rPr>
        <w:t> </w:t>
      </w:r>
      <w:r w:rsidR="004F5164" w:rsidRPr="00555E72">
        <w:t>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Sunlake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 (Lenberg, Rashawn)</w:t>
      </w:r>
    </w:p>
    <w:p w14:paraId="37FA5B37" w14:textId="227A7A49"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29A9A377" w14:textId="1A8A2DA4" w:rsidR="004F5164" w:rsidRPr="007D7227" w:rsidRDefault="00086203" w:rsidP="00086203">
      <w:pPr>
        <w:spacing w:after="240"/>
        <w:jc w:val="both"/>
        <w:outlineLvl w:val="1"/>
        <w:rPr>
          <w:rFonts w:ascii="Arial" w:hAnsi="Arial" w:cs="Arial"/>
          <w:b/>
          <w:bCs/>
          <w:i/>
          <w:iCs/>
          <w:vanish/>
          <w:szCs w:val="28"/>
        </w:rPr>
      </w:pPr>
      <w:r w:rsidRPr="00555E72">
        <w:rPr>
          <w:rFonts w:ascii="Arial" w:hAnsi="Arial" w:cs="Arial"/>
          <w:b/>
          <w:bCs/>
          <w:i/>
          <w:kern w:val="32"/>
          <w:szCs w:val="32"/>
        </w:rPr>
        <w:t> </w:t>
      </w:r>
      <w:r w:rsidR="004F5164" w:rsidRPr="00555E72">
        <w:t>Section 367.081(8), F.S., requires that the rates be reduced by the amount of the rate case expense previously included in rates immediately following the expiration of the recovery period. The reduction will reflect the removal of revenue associated with the amortization of rate case expense and the gross-up for RAFs. The total reduction is $</w:t>
      </w:r>
      <w:r w:rsidR="004F5164">
        <w:t>3,142</w:t>
      </w:r>
      <w:r w:rsidR="004F5164" w:rsidRPr="00555E72">
        <w:t>.</w:t>
      </w:r>
      <w:r w:rsidR="004F5164">
        <w:t xml:space="preserve"> </w:t>
      </w:r>
    </w:p>
    <w:p w14:paraId="6BF0D49C" w14:textId="502490F0" w:rsidR="004F5164" w:rsidRDefault="004F5164" w:rsidP="004F5164">
      <w:pPr>
        <w:spacing w:after="240"/>
        <w:jc w:val="both"/>
      </w:pPr>
      <w:r w:rsidRPr="00555E72">
        <w:t xml:space="preserve">Staff recommends that 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Sunlake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w:t>
      </w:r>
      <w:r w:rsidR="008A38C5">
        <w:t>and/</w:t>
      </w:r>
      <w:r w:rsidRPr="00555E72">
        <w:t>or pass-through rate adjustment, separate data should be filed for the price index and/or pass-through increase and the reduction in the rates due to the amortized rate case expense.</w:t>
      </w:r>
    </w:p>
    <w:p w14:paraId="410598CE" w14:textId="11195059" w:rsidR="004F5164" w:rsidRPr="00555E72" w:rsidRDefault="004F5164" w:rsidP="004F5164">
      <w:pPr>
        <w:jc w:val="both"/>
        <w:rPr>
          <w:rFonts w:ascii="Arial" w:hAnsi="Arial" w:cs="Arial"/>
          <w:b/>
          <w:bCs/>
          <w:i/>
          <w:iCs/>
          <w:vanish/>
          <w:szCs w:val="28"/>
        </w:rPr>
      </w:pPr>
      <w:r w:rsidRPr="00555E72">
        <w:rPr>
          <w:rFonts w:ascii="Arial" w:hAnsi="Arial" w:cs="Arial"/>
          <w:b/>
          <w:bCs/>
          <w:i/>
          <w:iCs/>
          <w:vanish/>
          <w:szCs w:val="28"/>
        </w:rPr>
        <w:t xml:space="preserve"> </w:t>
      </w:r>
    </w:p>
    <w:p w14:paraId="6DE1F7F7" w14:textId="1A423074" w:rsidR="00555E72" w:rsidRPr="00555E72" w:rsidRDefault="00555E72" w:rsidP="00F36BC1">
      <w:pPr>
        <w:spacing w:after="240"/>
        <w:jc w:val="both"/>
        <w:outlineLvl w:val="1"/>
        <w:rPr>
          <w:rFonts w:ascii="Arial" w:hAnsi="Arial" w:cs="Arial"/>
          <w:b/>
          <w:bCs/>
          <w:i/>
          <w:iCs/>
          <w:vanish/>
          <w:szCs w:val="28"/>
        </w:rPr>
      </w:pPr>
    </w:p>
    <w:p w14:paraId="652C8B4A" w14:textId="77777777" w:rsidR="00555E72" w:rsidRPr="00555E72" w:rsidRDefault="00555E72" w:rsidP="002C4F65">
      <w:pPr>
        <w:spacing w:after="240"/>
        <w:jc w:val="both"/>
        <w:outlineLvl w:val="1"/>
      </w:pPr>
      <w:r w:rsidRPr="00555E72">
        <w:br w:type="page"/>
      </w:r>
    </w:p>
    <w:p w14:paraId="6ACFAA6B" w14:textId="0313328B" w:rsidR="00C05CAF" w:rsidRPr="00875D78" w:rsidRDefault="00555E72" w:rsidP="00C05CAF">
      <w:pPr>
        <w:pStyle w:val="IssueHeading"/>
        <w:rPr>
          <w:vanish/>
          <w:specVanish/>
        </w:rPr>
      </w:pPr>
      <w:r w:rsidRPr="00555E72">
        <w:t>Iss</w:t>
      </w:r>
      <w:r w:rsidRPr="00555E72">
        <w:rPr>
          <w:noProof/>
        </w:rPr>
        <w:t xml:space="preserve">ue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13</w:t>
      </w:r>
      <w:r w:rsidR="00C8514D" w:rsidRPr="00C8514D">
        <w:rPr>
          <w:noProof/>
        </w:rPr>
        <w:fldChar w:fldCharType="end"/>
      </w:r>
      <w:r w:rsidRPr="00555E72">
        <w:rPr>
          <w:noProof/>
        </w:rPr>
        <w:t>:</w:t>
      </w:r>
      <w:r w:rsidRPr="00555E72">
        <w:rPr>
          <w:b w:val="0"/>
          <w:bCs w:val="0"/>
          <w:i w:val="0"/>
        </w:rPr>
        <w:fldChar w:fldCharType="begin"/>
      </w:r>
      <w:r w:rsidRPr="00555E72">
        <w:instrText xml:space="preserve"> TC "</w:instrText>
      </w:r>
      <w:r w:rsidRPr="00555E72">
        <w:rPr>
          <w:b w:val="0"/>
          <w:bCs w:val="0"/>
          <w:i w:val="0"/>
        </w:rPr>
        <w:fldChar w:fldCharType="begin"/>
      </w:r>
      <w:r w:rsidRPr="00555E72">
        <w:instrText xml:space="preserve"> SEQ issue \c </w:instrText>
      </w:r>
      <w:r w:rsidRPr="00555E72">
        <w:rPr>
          <w:b w:val="0"/>
          <w:bCs w:val="0"/>
          <w:i w:val="0"/>
        </w:rPr>
        <w:fldChar w:fldCharType="separate"/>
      </w:r>
      <w:bookmarkStart w:id="50" w:name="_Toc224892275"/>
      <w:bookmarkStart w:id="51" w:name="_Toc231452281"/>
      <w:r w:rsidR="00AD1D97">
        <w:rPr>
          <w:noProof/>
        </w:rPr>
        <w:instrText>13</w:instrText>
      </w:r>
      <w:r w:rsidRPr="00555E72">
        <w:rPr>
          <w:b w:val="0"/>
          <w:bCs w:val="0"/>
          <w:i w:val="0"/>
        </w:rPr>
        <w:fldChar w:fldCharType="end"/>
      </w:r>
      <w:r w:rsidRPr="00555E72">
        <w:tab/>
        <w:instrText>Temporary Rates</w:instrText>
      </w:r>
      <w:bookmarkEnd w:id="50"/>
      <w:bookmarkEnd w:id="51"/>
      <w:r w:rsidRPr="00555E72">
        <w:instrText xml:space="preserve">" \l 1 </w:instrText>
      </w:r>
      <w:r w:rsidRPr="00555E72">
        <w:rPr>
          <w:b w:val="0"/>
          <w:bCs w:val="0"/>
          <w:i w:val="0"/>
        </w:rPr>
        <w:fldChar w:fldCharType="end"/>
      </w:r>
      <w:r w:rsidR="00C05CAF" w:rsidRPr="00555E72">
        <w:t> </w:t>
      </w:r>
    </w:p>
    <w:p w14:paraId="5285CC2F" w14:textId="7A47E964" w:rsidR="007D7227" w:rsidRPr="00086203" w:rsidRDefault="00C05CAF" w:rsidP="007D7227">
      <w:pPr>
        <w:spacing w:after="240"/>
        <w:jc w:val="both"/>
        <w:outlineLvl w:val="1"/>
      </w:pPr>
      <w:r w:rsidRPr="00555E72">
        <w:rPr>
          <w:rFonts w:ascii="Arial" w:hAnsi="Arial" w:cs="Arial"/>
          <w:b/>
          <w:bCs/>
          <w:i/>
          <w:kern w:val="32"/>
          <w:szCs w:val="32"/>
        </w:rPr>
        <w:t> </w:t>
      </w:r>
      <w:r w:rsidR="004F5164" w:rsidRPr="00657BAA">
        <w:t>Should the recommended rates be approved for Sunlake Estates Utilities, L.L.C. on temporary basis, subject to refund with interest, in the event of a protest filed by a party other than the Utility?</w:t>
      </w:r>
      <w:r w:rsidR="007D7227">
        <w:rPr>
          <w:rFonts w:ascii="Arial" w:hAnsi="Arial" w:cs="Arial"/>
          <w:b/>
          <w:bCs/>
          <w:i/>
          <w:iCs/>
          <w:vanish/>
          <w:szCs w:val="28"/>
        </w:rPr>
        <w:t xml:space="preserve"> </w:t>
      </w:r>
    </w:p>
    <w:p w14:paraId="21889511" w14:textId="65A06945" w:rsidR="00C05CAF" w:rsidRPr="00875D78" w:rsidRDefault="005529D4" w:rsidP="00C05CAF">
      <w:pPr>
        <w:pStyle w:val="IssueSubsectionHeading"/>
        <w:rPr>
          <w:vanish/>
          <w:specVanish/>
        </w:rPr>
      </w:pPr>
      <w:r>
        <w:t>Recommendation</w:t>
      </w:r>
      <w:r w:rsidR="00555E72" w:rsidRPr="00555E72">
        <w:t>:</w:t>
      </w:r>
      <w:r w:rsidR="00C05CAF" w:rsidRPr="00555E72">
        <w:rPr>
          <w:kern w:val="32"/>
          <w:szCs w:val="32"/>
        </w:rPr>
        <w:t> </w:t>
      </w:r>
    </w:p>
    <w:p w14:paraId="5B001C3B" w14:textId="6C9F6DBE" w:rsidR="004F5164" w:rsidRPr="00555E72" w:rsidRDefault="00C05CAF" w:rsidP="00C05CAF">
      <w:pPr>
        <w:spacing w:after="240"/>
        <w:jc w:val="both"/>
      </w:pPr>
      <w:r w:rsidRPr="00555E72">
        <w:rPr>
          <w:rFonts w:ascii="Arial" w:hAnsi="Arial" w:cs="Arial"/>
          <w:b/>
          <w:bCs/>
          <w:i/>
          <w:kern w:val="32"/>
          <w:szCs w:val="32"/>
        </w:rPr>
        <w:t> </w:t>
      </w:r>
      <w:r w:rsidR="004F5164" w:rsidRPr="00555E72">
        <w:t xml:space="preserve">Yes. Pursuant to Section 367.0814(7), F.S., the recommended rates should be approved for the Utility on a temporary basis, subject to refund with interest, in the event of a protest filed by a party other than the Utility. Sunlake should file revised tariff sheets and a proposed customer notice reflecting the Commission-approved rates. The approved rates should be effective for services rendered on or after the stamped approval date on the tariff sheet,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14:paraId="13ECA279" w14:textId="2E47E584" w:rsidR="00555E72" w:rsidRPr="00555E72" w:rsidRDefault="004F5164" w:rsidP="004F5164">
      <w:pPr>
        <w:spacing w:after="240"/>
        <w:jc w:val="both"/>
        <w:outlineLvl w:val="0"/>
      </w:pPr>
      <w:r w:rsidRPr="00555E72">
        <w:t>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 indicating both the current monthly and total amount subject to refund at the end of the preceding month. The report filed should also indicate the status of the security being used to guarantee repayment of any potential refund. (Lenberg)</w:t>
      </w:r>
    </w:p>
    <w:p w14:paraId="50A0828C" w14:textId="1B450AC1" w:rsidR="00086203" w:rsidRPr="00875D78" w:rsidRDefault="00555E72" w:rsidP="00086203">
      <w:pPr>
        <w:pStyle w:val="IssueSubsectionHeading"/>
        <w:rPr>
          <w:vanish/>
          <w:specVanish/>
        </w:rPr>
      </w:pPr>
      <w:r w:rsidRPr="00555E72">
        <w:t>Staff Analysis:</w:t>
      </w:r>
      <w:r w:rsidR="00086203" w:rsidRPr="00555E72">
        <w:rPr>
          <w:kern w:val="32"/>
          <w:szCs w:val="32"/>
        </w:rPr>
        <w:t> </w:t>
      </w:r>
    </w:p>
    <w:p w14:paraId="053FC6FC" w14:textId="38BD0376" w:rsidR="004F5164" w:rsidRPr="00555E72" w:rsidRDefault="00086203" w:rsidP="00086203">
      <w:pPr>
        <w:spacing w:after="240"/>
        <w:jc w:val="both"/>
      </w:pPr>
      <w:r w:rsidRPr="00555E72">
        <w:rPr>
          <w:rFonts w:ascii="Arial" w:hAnsi="Arial" w:cs="Arial"/>
          <w:b/>
          <w:bCs/>
          <w:i/>
          <w:kern w:val="32"/>
          <w:szCs w:val="32"/>
        </w:rPr>
        <w:t> </w:t>
      </w:r>
      <w:r w:rsidR="004F5164" w:rsidRPr="00555E72">
        <w:t>This recommendation proposes an increase in rates. A timely protest might delay a rate increase resulting in an unrecoverable loss of revenue to the Utility. Therefore, pursuant to Section 367.0814(7), F.S., in the event of a protest filed by a party other than the Utility, staff recommends that the proposed rates be approved on a temporary basis. Sunlake should file revised tariff sheets and a proposed customer notice reflecting the Commission-approved rates. The approved rates should be effective for services rendered on or after the stamped approval date on the tariff sheet, pursuant to Rule 25-30.475(1), F.A.C. In addition, the temporary rates should not be implemented until staff has approved the proposed notice, and it has been received by the customers. The additional revenue produced by staff’s recommended rates and collected by the Utility should be subject to the refund provisions discussed below.</w:t>
      </w:r>
    </w:p>
    <w:p w14:paraId="7AC156C8" w14:textId="4246E690" w:rsidR="004F5164" w:rsidRPr="00555E72" w:rsidRDefault="004F5164" w:rsidP="004F5164">
      <w:pPr>
        <w:spacing w:after="240"/>
        <w:jc w:val="both"/>
      </w:pPr>
      <w:r w:rsidRPr="00555E72">
        <w:t>Sunlake should be authorized to initiate the temporary rates upon staff’s approval of an appropriate security for the potential refund and cost of the proposed customer notice. Security should be in the form of either a bond or letter of credit in the amount of $</w:t>
      </w:r>
      <w:r>
        <w:t>5</w:t>
      </w:r>
      <w:r w:rsidR="004C59B9">
        <w:t>6,997</w:t>
      </w:r>
      <w:r w:rsidRPr="00555E72">
        <w:t>. Alternatively, the Utility may establish an escrow agreement with an independent financial institution.</w:t>
      </w:r>
    </w:p>
    <w:p w14:paraId="662B416C" w14:textId="77777777" w:rsidR="004F5164" w:rsidRPr="00555E72" w:rsidRDefault="004F5164" w:rsidP="004F5164">
      <w:pPr>
        <w:spacing w:after="240"/>
        <w:jc w:val="both"/>
      </w:pPr>
      <w:r w:rsidRPr="00555E72">
        <w:t>If the Utility chooses a bond for securing the potential refund, the bond should contain wording to the effect that it will be terminated only under the following conditions:</w:t>
      </w:r>
    </w:p>
    <w:p w14:paraId="2479B55C" w14:textId="77777777" w:rsidR="004F5164" w:rsidRPr="00555E72" w:rsidRDefault="004F5164" w:rsidP="004F5164">
      <w:pPr>
        <w:spacing w:after="240"/>
        <w:jc w:val="both"/>
      </w:pPr>
      <w:r w:rsidRPr="00555E72">
        <w:t>1.</w:t>
      </w:r>
      <w:r w:rsidRPr="00555E72">
        <w:tab/>
        <w:t>The Commission approves the rate increase; or,</w:t>
      </w:r>
    </w:p>
    <w:p w14:paraId="6C2F5E30" w14:textId="77777777" w:rsidR="004F5164" w:rsidRPr="00555E72" w:rsidRDefault="004F5164" w:rsidP="00240DB7">
      <w:pPr>
        <w:spacing w:after="240"/>
        <w:ind w:left="720" w:hanging="720"/>
        <w:jc w:val="both"/>
      </w:pPr>
      <w:r w:rsidRPr="00555E72">
        <w:t>2.</w:t>
      </w:r>
      <w:r w:rsidRPr="00555E72">
        <w:tab/>
        <w:t>If the Commission denies the increase, the Utility shall refund the amount collected that is attributable to the increase.</w:t>
      </w:r>
    </w:p>
    <w:p w14:paraId="703D5A7C" w14:textId="77777777" w:rsidR="004F5164" w:rsidRPr="00555E72" w:rsidRDefault="004F5164" w:rsidP="004F5164">
      <w:pPr>
        <w:spacing w:after="240"/>
        <w:jc w:val="both"/>
      </w:pPr>
      <w:r w:rsidRPr="00555E72">
        <w:t>If the Utility chooses a letter of credit for securing the potential refund, the letter of credit should contain the following conditions:</w:t>
      </w:r>
    </w:p>
    <w:p w14:paraId="7CC53B68" w14:textId="77777777" w:rsidR="004F5164" w:rsidRPr="00555E72" w:rsidRDefault="004F5164" w:rsidP="004F5164">
      <w:pPr>
        <w:jc w:val="both"/>
      </w:pPr>
      <w:r w:rsidRPr="00555E72">
        <w:t>1.</w:t>
      </w:r>
      <w:r w:rsidRPr="00555E72">
        <w:tab/>
        <w:t>The letter of credit is irrevocable for the period it is in effect.</w:t>
      </w:r>
    </w:p>
    <w:p w14:paraId="3585086E" w14:textId="77777777" w:rsidR="004F5164" w:rsidRPr="00555E72" w:rsidRDefault="004F5164" w:rsidP="00240DB7">
      <w:pPr>
        <w:ind w:left="720" w:hanging="720"/>
        <w:jc w:val="both"/>
      </w:pPr>
      <w:r w:rsidRPr="00555E72">
        <w:t>2.</w:t>
      </w:r>
      <w:r w:rsidRPr="00555E72">
        <w:tab/>
        <w:t>The letter of credit will be in effect until a final Commission order is rendered, either approving or denying the rate increase.</w:t>
      </w:r>
    </w:p>
    <w:p w14:paraId="4BA14358" w14:textId="77777777" w:rsidR="004F5164" w:rsidRPr="00555E72" w:rsidRDefault="004F5164" w:rsidP="004F5164">
      <w:pPr>
        <w:jc w:val="both"/>
      </w:pPr>
    </w:p>
    <w:p w14:paraId="04A16994" w14:textId="77777777" w:rsidR="004F5164" w:rsidRPr="00555E72" w:rsidRDefault="004F5164" w:rsidP="004F5164">
      <w:pPr>
        <w:spacing w:after="240"/>
        <w:jc w:val="both"/>
      </w:pPr>
      <w:r w:rsidRPr="00555E72">
        <w:t>If security is provided through an escrow agreement, the following conditions should be part of the agreement:</w:t>
      </w:r>
    </w:p>
    <w:p w14:paraId="3F5C07BE" w14:textId="77777777" w:rsidR="004F5164" w:rsidRPr="00555E72" w:rsidRDefault="004F5164" w:rsidP="00240DB7">
      <w:pPr>
        <w:ind w:left="720" w:hanging="720"/>
        <w:jc w:val="both"/>
      </w:pPr>
      <w:r w:rsidRPr="00555E72">
        <w:t>1.</w:t>
      </w:r>
      <w:r w:rsidRPr="00555E72">
        <w:tab/>
        <w:t>The Commission Clerk, or his or her designee, must be a signatory to the escrow agreement.</w:t>
      </w:r>
    </w:p>
    <w:p w14:paraId="48A1C79C" w14:textId="77777777" w:rsidR="004F5164" w:rsidRPr="00555E72" w:rsidRDefault="004F5164" w:rsidP="00240DB7">
      <w:pPr>
        <w:ind w:left="720" w:hanging="720"/>
        <w:jc w:val="both"/>
      </w:pPr>
      <w:r w:rsidRPr="00555E72">
        <w:t>2.</w:t>
      </w:r>
      <w:r w:rsidRPr="00555E72">
        <w:tab/>
        <w:t xml:space="preserve">No monies in the escrow account may be withdrawn by the Utility without the prior written authorization of the Commission Clerk, or his or her designee. </w:t>
      </w:r>
    </w:p>
    <w:p w14:paraId="01737F5F" w14:textId="3387F499" w:rsidR="004F5164" w:rsidRPr="00555E72" w:rsidRDefault="004F5164" w:rsidP="004F5164">
      <w:pPr>
        <w:jc w:val="both"/>
      </w:pPr>
      <w:r w:rsidRPr="00555E72">
        <w:t>3.</w:t>
      </w:r>
      <w:r w:rsidRPr="00555E72">
        <w:tab/>
        <w:t>The escrow account shall be an interest</w:t>
      </w:r>
      <w:r w:rsidR="000D05DA">
        <w:t>-</w:t>
      </w:r>
      <w:r w:rsidRPr="00555E72">
        <w:t>bearing account.</w:t>
      </w:r>
    </w:p>
    <w:p w14:paraId="46EA0EDE" w14:textId="77777777" w:rsidR="004F5164" w:rsidRPr="00555E72" w:rsidRDefault="004F5164" w:rsidP="00240DB7">
      <w:pPr>
        <w:ind w:left="720" w:hanging="720"/>
        <w:jc w:val="both"/>
      </w:pPr>
      <w:r w:rsidRPr="00555E72">
        <w:t>4.</w:t>
      </w:r>
      <w:r w:rsidRPr="00555E72">
        <w:tab/>
        <w:t>If a refund to the customers is required, all interest earned by the escrow account shall be distributed to the customers.</w:t>
      </w:r>
    </w:p>
    <w:p w14:paraId="1C492CB3" w14:textId="77777777" w:rsidR="004F5164" w:rsidRPr="00555E72" w:rsidRDefault="004F5164" w:rsidP="00240DB7">
      <w:pPr>
        <w:ind w:left="720" w:hanging="720"/>
        <w:jc w:val="both"/>
      </w:pPr>
      <w:r w:rsidRPr="00555E72">
        <w:t>5.</w:t>
      </w:r>
      <w:r w:rsidRPr="00555E72">
        <w:tab/>
        <w:t>If a refund to the customers is not required, the interest earned by the escrow account shall revert to the Utility.</w:t>
      </w:r>
    </w:p>
    <w:p w14:paraId="3E4489FF" w14:textId="77777777" w:rsidR="004F5164" w:rsidRPr="00555E72" w:rsidRDefault="004F5164" w:rsidP="00240DB7">
      <w:pPr>
        <w:ind w:left="720" w:hanging="720"/>
        <w:jc w:val="both"/>
      </w:pPr>
      <w:r w:rsidRPr="00555E72">
        <w:t>6.</w:t>
      </w:r>
      <w:r w:rsidRPr="00555E72">
        <w:tab/>
        <w:t>All information on the escrow account shall be available from the holder of the escrow account to a Commission representative at all times.</w:t>
      </w:r>
    </w:p>
    <w:p w14:paraId="666ED39A" w14:textId="77777777" w:rsidR="004F5164" w:rsidRPr="00555E72" w:rsidRDefault="004F5164" w:rsidP="00240DB7">
      <w:pPr>
        <w:ind w:left="720" w:hanging="720"/>
        <w:jc w:val="both"/>
      </w:pPr>
      <w:r w:rsidRPr="00555E72">
        <w:t>7.</w:t>
      </w:r>
      <w:r w:rsidRPr="00555E72">
        <w:tab/>
        <w:t>The amount of revenue subject to refund shall be deposited in the escrow account within seven days of receipt.</w:t>
      </w:r>
    </w:p>
    <w:p w14:paraId="44B89E3A" w14:textId="77777777" w:rsidR="004F5164" w:rsidRPr="00555E72" w:rsidRDefault="004F5164" w:rsidP="00240DB7">
      <w:pPr>
        <w:ind w:left="720" w:hanging="720"/>
        <w:jc w:val="both"/>
      </w:pPr>
      <w:r w:rsidRPr="00555E72">
        <w:t>8.</w:t>
      </w:r>
      <w:r w:rsidRPr="00555E72">
        <w:tab/>
        <w:t>This escrow account is established by the direction of the Florida Public Service Commission for the purpose(s) set forth in its order requiring such account. Pursuant to Cosentino v. Elson, 263 So. 2d 253 (Fla. 3d DCA 1972), escrow accounts are not subject to garnishments.</w:t>
      </w:r>
    </w:p>
    <w:p w14:paraId="799AE465" w14:textId="77777777" w:rsidR="004F5164" w:rsidRPr="00555E72" w:rsidRDefault="004F5164" w:rsidP="004F5164">
      <w:pPr>
        <w:jc w:val="both"/>
      </w:pPr>
      <w:r w:rsidRPr="00555E72">
        <w:t>9.</w:t>
      </w:r>
      <w:r w:rsidRPr="00555E72">
        <w:tab/>
        <w:t>The account must specify by whom and on whose behalf such monies were paid.</w:t>
      </w:r>
    </w:p>
    <w:p w14:paraId="4638E1EA" w14:textId="77777777" w:rsidR="004F5164" w:rsidRPr="00555E72" w:rsidRDefault="004F5164" w:rsidP="004F5164">
      <w:pPr>
        <w:jc w:val="both"/>
      </w:pPr>
    </w:p>
    <w:p w14:paraId="0F3FA527" w14:textId="77777777" w:rsidR="004F5164" w:rsidRPr="00555E72" w:rsidRDefault="004F5164" w:rsidP="004F5164">
      <w:pPr>
        <w:spacing w:after="240"/>
        <w:jc w:val="both"/>
      </w:pPr>
      <w:r w:rsidRPr="00555E72">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14:paraId="7D6596F2" w14:textId="17AF862A" w:rsidR="00C44163" w:rsidRDefault="004F5164" w:rsidP="004F5164">
      <w:pPr>
        <w:spacing w:after="240"/>
        <w:jc w:val="both"/>
        <w:outlineLvl w:val="1"/>
      </w:pPr>
      <w:r w:rsidRPr="00555E72">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r w:rsidR="007D7227">
        <w:rPr>
          <w:rFonts w:ascii="Arial" w:hAnsi="Arial" w:cs="Arial"/>
          <w:b/>
          <w:bCs/>
          <w:i/>
          <w:iCs/>
          <w:vanish/>
          <w:szCs w:val="28"/>
        </w:rPr>
        <w:t xml:space="preserve"> </w:t>
      </w:r>
    </w:p>
    <w:p w14:paraId="5D75895D" w14:textId="23A9AB50" w:rsidR="00C44163" w:rsidRDefault="00C44163" w:rsidP="00C44163">
      <w:pPr>
        <w:spacing w:after="240"/>
        <w:jc w:val="both"/>
      </w:pPr>
      <w:r>
        <w:br w:type="page"/>
      </w:r>
    </w:p>
    <w:p w14:paraId="072BCDD7" w14:textId="3C88857F" w:rsidR="00C05CAF" w:rsidRPr="00875D78" w:rsidRDefault="00C44163" w:rsidP="00C05CAF">
      <w:pPr>
        <w:pStyle w:val="IssueHeading"/>
        <w:rPr>
          <w:vanish/>
          <w:specVanish/>
        </w:rPr>
      </w:pPr>
      <w:r w:rsidRPr="004C3641">
        <w:t>Issue</w:t>
      </w:r>
      <w:r w:rsidRPr="004C3641">
        <w:rPr>
          <w:noProof/>
        </w:rPr>
        <w:t xml:space="preserve"> </w:t>
      </w:r>
      <w:r w:rsidR="00EC5856" w:rsidRPr="00C8514D">
        <w:rPr>
          <w:noProof/>
        </w:rPr>
        <w:fldChar w:fldCharType="begin"/>
      </w:r>
      <w:r w:rsidR="00EC5856" w:rsidRPr="00C8514D">
        <w:rPr>
          <w:noProof/>
        </w:rPr>
        <w:instrText xml:space="preserve"> SEQ Issue \* MERGEFORMAT </w:instrText>
      </w:r>
      <w:r w:rsidR="00EC5856" w:rsidRPr="00C8514D">
        <w:rPr>
          <w:noProof/>
        </w:rPr>
        <w:fldChar w:fldCharType="separate"/>
      </w:r>
      <w:r w:rsidR="00AD1D97">
        <w:rPr>
          <w:noProof/>
        </w:rPr>
        <w:t>14</w:t>
      </w:r>
      <w:r w:rsidR="00EC5856" w:rsidRPr="00C8514D">
        <w:rPr>
          <w:noProof/>
        </w:rPr>
        <w:fldChar w:fldCharType="end"/>
      </w:r>
      <w:r w:rsidRPr="004C3641">
        <w:rPr>
          <w:noProof/>
        </w:rPr>
        <w:t>:</w:t>
      </w:r>
      <w:r w:rsidR="00C05CAF" w:rsidRPr="00C05CAF">
        <w:t xml:space="preserve"> </w:t>
      </w:r>
      <w:r w:rsidR="00C05CAF">
        <w:fldChar w:fldCharType="begin"/>
      </w:r>
      <w:r w:rsidR="00C05CAF">
        <w:instrText xml:space="preserve"> TC "</w:instrText>
      </w:r>
      <w:r w:rsidR="00C05CAF">
        <w:fldChar w:fldCharType="begin"/>
      </w:r>
      <w:r w:rsidR="00C05CAF">
        <w:instrText xml:space="preserve"> SEQ issue \c </w:instrText>
      </w:r>
      <w:r w:rsidR="00C05CAF">
        <w:fldChar w:fldCharType="separate"/>
      </w:r>
      <w:bookmarkStart w:id="52" w:name="_Toc235191556"/>
      <w:r w:rsidR="00AD1D97">
        <w:rPr>
          <w:noProof/>
        </w:rPr>
        <w:instrText>14</w:instrText>
      </w:r>
      <w:r w:rsidR="00C05CAF">
        <w:fldChar w:fldCharType="end"/>
      </w:r>
      <w:r w:rsidR="00C05CAF">
        <w:tab/>
        <w:instrText>Temporary Rates</w:instrText>
      </w:r>
      <w:bookmarkEnd w:id="52"/>
      <w:r w:rsidR="00C05CAF">
        <w:instrText xml:space="preserve">" \l 1 </w:instrText>
      </w:r>
      <w:r w:rsidR="00C05CAF">
        <w:fldChar w:fldCharType="end"/>
      </w:r>
      <w:r w:rsidR="00C05CAF" w:rsidRPr="00555E72">
        <w:t> </w:t>
      </w:r>
    </w:p>
    <w:p w14:paraId="024D9472" w14:textId="36845346" w:rsidR="00C44163" w:rsidRPr="004F5164" w:rsidRDefault="00C05CAF" w:rsidP="00C05CAF">
      <w:pPr>
        <w:pStyle w:val="IssueHeading"/>
        <w:rPr>
          <w:rFonts w:ascii="Times New Roman" w:hAnsi="Times New Roman" w:cs="Times New Roman"/>
          <w:b w:val="0"/>
          <w:bCs w:val="0"/>
          <w:i w:val="0"/>
          <w:kern w:val="0"/>
          <w:szCs w:val="24"/>
        </w:rPr>
      </w:pPr>
      <w:r w:rsidRPr="00555E72">
        <w:t> </w:t>
      </w:r>
      <w:r w:rsidR="004F5164" w:rsidRPr="004F5164">
        <w:rPr>
          <w:rFonts w:ascii="Times New Roman" w:hAnsi="Times New Roman" w:cs="Times New Roman"/>
          <w:b w:val="0"/>
          <w:bCs w:val="0"/>
          <w:i w:val="0"/>
          <w:kern w:val="0"/>
          <w:szCs w:val="24"/>
        </w:rPr>
        <w:t>Should Sunlake Estates Utilities, L.L.C. be required to notify the Commission within 90 days of an effective order finalizing this docket, that it has adjusted its books for all the applicable NARUC USOA?</w:t>
      </w:r>
    </w:p>
    <w:p w14:paraId="19C5D3DD" w14:textId="337DF93A" w:rsidR="00C05CAF" w:rsidRPr="00875D78" w:rsidRDefault="00C44163" w:rsidP="00C05CAF">
      <w:pPr>
        <w:pStyle w:val="IssueSubsectionHeading"/>
        <w:rPr>
          <w:vanish/>
          <w:specVanish/>
        </w:rPr>
      </w:pPr>
      <w:r w:rsidRPr="004C3641">
        <w:t>Recommendation:</w:t>
      </w:r>
      <w:bookmarkStart w:id="53" w:name="_Hlk235191860"/>
      <w:r w:rsidR="00C05CAF" w:rsidRPr="00555E72">
        <w:rPr>
          <w:kern w:val="32"/>
          <w:szCs w:val="32"/>
        </w:rPr>
        <w:t> </w:t>
      </w:r>
    </w:p>
    <w:p w14:paraId="4430ADD0" w14:textId="73C2E89A" w:rsidR="00086203" w:rsidRPr="00086203" w:rsidRDefault="00C05CAF" w:rsidP="00086203">
      <w:pPr>
        <w:pStyle w:val="IssueSubsectionHeading"/>
        <w:rPr>
          <w:rFonts w:ascii="Times New Roman" w:hAnsi="Times New Roman" w:cs="Times New Roman"/>
          <w:b w:val="0"/>
          <w:bCs w:val="0"/>
          <w:i w:val="0"/>
          <w:iCs w:val="0"/>
          <w:szCs w:val="24"/>
        </w:rPr>
      </w:pPr>
      <w:r w:rsidRPr="00555E72">
        <w:rPr>
          <w:kern w:val="32"/>
          <w:szCs w:val="32"/>
        </w:rPr>
        <w:t> </w:t>
      </w:r>
      <w:bookmarkEnd w:id="53"/>
      <w:r w:rsidR="004F5164" w:rsidRPr="004F5164">
        <w:rPr>
          <w:rFonts w:ascii="Times New Roman" w:hAnsi="Times New Roman" w:cs="Times New Roman"/>
          <w:b w:val="0"/>
          <w:bCs w:val="0"/>
          <w:i w:val="0"/>
          <w:iCs w:val="0"/>
          <w:szCs w:val="24"/>
        </w:rPr>
        <w:t>Yes. Sunlake 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 requesting an extension. Upon providing a notice of good cause, staff should be given administrative authority to grant an extension of up to 60 days. (Lenberg)</w:t>
      </w:r>
    </w:p>
    <w:p w14:paraId="23FEC401" w14:textId="71B4E742" w:rsidR="00086203" w:rsidRPr="00875D78" w:rsidRDefault="00C44163" w:rsidP="00086203">
      <w:pPr>
        <w:pStyle w:val="IssueSubsectionHeading"/>
        <w:rPr>
          <w:vanish/>
          <w:specVanish/>
        </w:rPr>
      </w:pPr>
      <w:r w:rsidRPr="004F5164">
        <w:t>Staff Analysis:</w:t>
      </w:r>
      <w:r w:rsidR="00086203" w:rsidRPr="00555E72">
        <w:rPr>
          <w:kern w:val="32"/>
          <w:szCs w:val="32"/>
        </w:rPr>
        <w:t> </w:t>
      </w:r>
    </w:p>
    <w:p w14:paraId="62BCFBC7" w14:textId="77403722" w:rsidR="004F5164" w:rsidRDefault="00086203" w:rsidP="00504136">
      <w:pPr>
        <w:pStyle w:val="BodyText"/>
      </w:pPr>
      <w:r w:rsidRPr="00555E72">
        <w:rPr>
          <w:rFonts w:ascii="Arial" w:hAnsi="Arial" w:cs="Arial"/>
          <w:b/>
          <w:bCs/>
          <w:i/>
          <w:kern w:val="32"/>
          <w:szCs w:val="32"/>
        </w:rPr>
        <w:t> </w:t>
      </w:r>
      <w:r w:rsidR="004F5164">
        <w:t>Sunlake</w:t>
      </w:r>
      <w:r w:rsidR="004F5164" w:rsidRPr="00C44163">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 requesting an extension. Upon providing a notice of good cause, staff should be given administrative authority to grant an extension of up to 60 days.</w:t>
      </w:r>
    </w:p>
    <w:p w14:paraId="50E15DC3" w14:textId="4139D569" w:rsidR="00657BAA" w:rsidRDefault="00657BAA" w:rsidP="00657BAA">
      <w:pPr>
        <w:spacing w:after="240"/>
        <w:jc w:val="both"/>
      </w:pPr>
    </w:p>
    <w:p w14:paraId="6E05D044" w14:textId="70D6E9C3" w:rsidR="00C44163" w:rsidRDefault="00C44163">
      <w:pPr>
        <w:pStyle w:val="BodyText"/>
      </w:pPr>
    </w:p>
    <w:p w14:paraId="541EFC29" w14:textId="4A85BED7" w:rsidR="00657BAA" w:rsidRPr="00657BAA" w:rsidRDefault="00C44163" w:rsidP="00657BAA">
      <w:pPr>
        <w:spacing w:after="240"/>
        <w:jc w:val="both"/>
      </w:pPr>
      <w:r>
        <w:br w:type="page"/>
      </w:r>
    </w:p>
    <w:p w14:paraId="4C9C355F" w14:textId="2FFD9C25" w:rsidR="00C05CAF" w:rsidRPr="00875D78" w:rsidRDefault="00657BAA" w:rsidP="00C05CAF">
      <w:pPr>
        <w:pStyle w:val="IssueHeading"/>
        <w:rPr>
          <w:vanish/>
          <w:specVanish/>
        </w:rPr>
      </w:pPr>
      <w:r w:rsidRPr="004F5164">
        <w:t>Issu</w:t>
      </w:r>
      <w:r w:rsidRPr="004F5164">
        <w:rPr>
          <w:noProof/>
        </w:rPr>
        <w:t xml:space="preserve">e </w:t>
      </w:r>
      <w:r w:rsidR="00C8514D" w:rsidRPr="00C8514D">
        <w:rPr>
          <w:noProof/>
        </w:rPr>
        <w:fldChar w:fldCharType="begin"/>
      </w:r>
      <w:r w:rsidR="00C8514D">
        <w:rPr>
          <w:noProof/>
        </w:rPr>
        <w:instrText xml:space="preserve"> SEQ Issue \* MERGEFORMAT </w:instrText>
      </w:r>
      <w:r w:rsidR="00C8514D" w:rsidRPr="00C8514D">
        <w:rPr>
          <w:noProof/>
        </w:rPr>
        <w:fldChar w:fldCharType="separate"/>
      </w:r>
      <w:r w:rsidR="00AD1D97">
        <w:rPr>
          <w:noProof/>
        </w:rPr>
        <w:t>15</w:t>
      </w:r>
      <w:r w:rsidR="00C8514D" w:rsidRPr="00C8514D">
        <w:rPr>
          <w:noProof/>
        </w:rPr>
        <w:fldChar w:fldCharType="end"/>
      </w:r>
      <w:r w:rsidRPr="004F5164">
        <w:rPr>
          <w:noProof/>
        </w:rPr>
        <w:t>:</w:t>
      </w:r>
      <w:r>
        <w:rPr>
          <w:noProof/>
        </w:rPr>
        <w:fldChar w:fldCharType="begin"/>
      </w:r>
      <w:r>
        <w:rPr>
          <w:noProof/>
        </w:rPr>
        <w:instrText xml:space="preserve"> TC "</w:instrText>
      </w:r>
      <w:r>
        <w:rPr>
          <w:noProof/>
        </w:rPr>
        <w:fldChar w:fldCharType="begin"/>
      </w:r>
      <w:r>
        <w:rPr>
          <w:noProof/>
        </w:rPr>
        <w:instrText xml:space="preserve"> SEQ issue \c </w:instrText>
      </w:r>
      <w:r>
        <w:rPr>
          <w:noProof/>
        </w:rPr>
        <w:fldChar w:fldCharType="separate"/>
      </w:r>
      <w:r w:rsidR="00AD1D97">
        <w:rPr>
          <w:noProof/>
        </w:rPr>
        <w:instrText>15</w:instrText>
      </w:r>
      <w:r>
        <w:rPr>
          <w:noProof/>
        </w:rPr>
        <w:fldChar w:fldCharType="end"/>
      </w:r>
      <w:r>
        <w:rPr>
          <w:noProof/>
        </w:rPr>
        <w:tab/>
        <w:instrText xml:space="preserve">" \l 1 </w:instrText>
      </w:r>
      <w:r>
        <w:rPr>
          <w:noProof/>
        </w:rPr>
        <w:fldChar w:fldCharType="end"/>
      </w:r>
      <w:r w:rsidR="00C05CAF" w:rsidRPr="00555E72">
        <w:rPr>
          <w:noProof/>
        </w:rPr>
        <w:t> </w:t>
      </w:r>
    </w:p>
    <w:p w14:paraId="22F497F7" w14:textId="1FB8594D" w:rsidR="004F5164" w:rsidRPr="004F5164" w:rsidRDefault="00C05CAF" w:rsidP="00C05CAF">
      <w:pPr>
        <w:pStyle w:val="BodyText"/>
      </w:pPr>
      <w:r w:rsidRPr="00555E72">
        <w:rPr>
          <w:rFonts w:ascii="Arial" w:hAnsi="Arial" w:cs="Arial"/>
          <w:b/>
          <w:bCs/>
          <w:i/>
          <w:kern w:val="32"/>
          <w:szCs w:val="32"/>
        </w:rPr>
        <w:t> </w:t>
      </w:r>
      <w:r w:rsidR="004F5164">
        <w:t>Should this docket be closed?</w:t>
      </w:r>
    </w:p>
    <w:p w14:paraId="031522F4" w14:textId="2A6B81D7" w:rsidR="00C05CAF" w:rsidRPr="00875D78" w:rsidRDefault="00657BAA" w:rsidP="00C05CAF">
      <w:pPr>
        <w:pStyle w:val="IssueSubsectionHeading"/>
        <w:rPr>
          <w:vanish/>
          <w:specVanish/>
        </w:rPr>
      </w:pPr>
      <w:r w:rsidRPr="004C3641">
        <w:t>Recommendation:</w:t>
      </w:r>
      <w:r w:rsidR="00C05CAF" w:rsidRPr="00555E72">
        <w:rPr>
          <w:kern w:val="32"/>
          <w:szCs w:val="32"/>
        </w:rPr>
        <w:t> </w:t>
      </w:r>
    </w:p>
    <w:p w14:paraId="5AAE0C7C" w14:textId="39615FEF" w:rsidR="00657BAA" w:rsidRPr="004F5164" w:rsidRDefault="00C05CAF" w:rsidP="00C05CAF">
      <w:pPr>
        <w:pStyle w:val="IssueHeading"/>
        <w:rPr>
          <w:rFonts w:ascii="Times New Roman" w:hAnsi="Times New Roman" w:cs="Times New Roman"/>
          <w:b w:val="0"/>
          <w:bCs w:val="0"/>
          <w:i w:val="0"/>
          <w:kern w:val="0"/>
          <w:szCs w:val="24"/>
        </w:rPr>
      </w:pPr>
      <w:r w:rsidRPr="00555E72">
        <w:t> </w:t>
      </w:r>
      <w:r w:rsidR="000D05DA" w:rsidRPr="000D05DA">
        <w:rPr>
          <w:rFonts w:ascii="Times New Roman" w:hAnsi="Times New Roman" w:cs="Times New Roman"/>
          <w:b w:val="0"/>
          <w:bCs w:val="0"/>
          <w:i w:val="0"/>
          <w:kern w:val="0"/>
          <w:szCs w:val="24"/>
        </w:rPr>
        <w:t>No. If no person whose substantial interests are affected by the proposed agency action files a protest within 21 days of the issuance of the order, a consummating order should be issued. The docket should remain open for staff’s verification that the revised tariff sheets and customer notice have been filed by the Utility and approved by staff. In addition, the docket should stay open for staff’s verification that the Utility has filed its plan outlining how it will improve its recordkeeping and customer communications as set forth in Issue 1. Once these actions are complete, the docket should be closed administratively. (Farooqi)</w:t>
      </w:r>
    </w:p>
    <w:p w14:paraId="02F3AF17" w14:textId="07A99892" w:rsidR="00086203" w:rsidRPr="00875D78" w:rsidRDefault="00657BAA" w:rsidP="00086203">
      <w:pPr>
        <w:pStyle w:val="IssueSubsectionHeading"/>
        <w:rPr>
          <w:vanish/>
          <w:specVanish/>
        </w:rPr>
      </w:pPr>
      <w:r w:rsidRPr="004F5164">
        <w:rPr>
          <w:kern w:val="32"/>
          <w:szCs w:val="32"/>
        </w:rPr>
        <w:t>Staff Analysis:</w:t>
      </w:r>
      <w:r w:rsidR="00086203" w:rsidRPr="00555E72">
        <w:rPr>
          <w:kern w:val="32"/>
          <w:szCs w:val="32"/>
        </w:rPr>
        <w:t> </w:t>
      </w:r>
    </w:p>
    <w:p w14:paraId="571D068D" w14:textId="27A78FDF" w:rsidR="004F5164" w:rsidRDefault="00086203" w:rsidP="00086203">
      <w:pPr>
        <w:pStyle w:val="BodyText"/>
      </w:pPr>
      <w:r w:rsidRPr="00555E72">
        <w:rPr>
          <w:rFonts w:ascii="Arial" w:hAnsi="Arial" w:cs="Arial"/>
          <w:b/>
          <w:bCs/>
          <w:i/>
          <w:kern w:val="32"/>
          <w:szCs w:val="32"/>
        </w:rPr>
        <w:t> </w:t>
      </w:r>
      <w:r w:rsidR="000D05DA" w:rsidRPr="000D05DA">
        <w:t>No. If no person whose substantial interests are affected by the proposed agency action files a protest within 21 days of the issuance of the order, a consummating order should be issued. The docket should remain open for staff’s verification that the revised tariff sheets and customer notice have been filed by the Utility and approved by staff. In addition, the docket should stay open for staff’s verification that the Utility has filed its plan outlining how it will improve its recordkeeping and customer communications as set forth in Issue 1. Once these actions are complete, the docket should be closed administratively.</w:t>
      </w:r>
    </w:p>
    <w:p w14:paraId="497369F8" w14:textId="0F913B59" w:rsidR="00657BAA" w:rsidRPr="004C3641" w:rsidRDefault="00657BAA" w:rsidP="00657BAA">
      <w:pPr>
        <w:pStyle w:val="IssueSubsectionHeading"/>
        <w:rPr>
          <w:vanish/>
          <w:specVanish/>
        </w:rPr>
      </w:pPr>
    </w:p>
    <w:p w14:paraId="30ACA3FE" w14:textId="381ECD1A" w:rsidR="00657BAA" w:rsidRDefault="00657BAA" w:rsidP="004F5164">
      <w:pPr>
        <w:pStyle w:val="IssueSubsectionHeading"/>
      </w:pPr>
      <w:r>
        <w:br w:type="page"/>
      </w:r>
    </w:p>
    <w:p w14:paraId="5ADFA6BA" w14:textId="3FF1FB44" w:rsidR="00C44163" w:rsidRPr="0005280C" w:rsidRDefault="00C44163" w:rsidP="00C44163">
      <w:pPr>
        <w:spacing w:after="240"/>
        <w:jc w:val="both"/>
        <w:sectPr w:rsidR="00C44163" w:rsidRPr="0005280C" w:rsidSect="0068481F">
          <w:pgSz w:w="12240" w:h="15840" w:code="1"/>
          <w:pgMar w:top="1584" w:right="1440" w:bottom="1440" w:left="1440" w:header="720" w:footer="720" w:gutter="0"/>
          <w:cols w:space="720"/>
          <w:formProt w:val="0"/>
          <w:docGrid w:linePitch="360"/>
        </w:sectPr>
      </w:pPr>
    </w:p>
    <w:p w14:paraId="404E440E" w14:textId="33C34CF3" w:rsidR="00555E72" w:rsidRPr="00555E72" w:rsidRDefault="008B7520" w:rsidP="00555E72">
      <w:r w:rsidRPr="008B7520">
        <w:rPr>
          <w:noProof/>
        </w:rPr>
        <w:drawing>
          <wp:anchor distT="0" distB="0" distL="114300" distR="114300" simplePos="0" relativeHeight="251707904" behindDoc="0" locked="0" layoutInCell="1" allowOverlap="1" wp14:anchorId="7D5C6CB2" wp14:editId="3FE20891">
            <wp:simplePos x="0" y="0"/>
            <wp:positionH relativeFrom="margin">
              <wp:align>center</wp:align>
            </wp:positionH>
            <wp:positionV relativeFrom="margin">
              <wp:align>top</wp:align>
            </wp:positionV>
            <wp:extent cx="7223760" cy="4953215"/>
            <wp:effectExtent l="0" t="0" r="0" b="0"/>
            <wp:wrapNone/>
            <wp:docPr id="1806972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3760" cy="4953215"/>
                    </a:xfrm>
                    <a:prstGeom prst="rect">
                      <a:avLst/>
                    </a:prstGeom>
                    <a:noFill/>
                    <a:ln>
                      <a:noFill/>
                    </a:ln>
                  </pic:spPr>
                </pic:pic>
              </a:graphicData>
            </a:graphic>
            <wp14:sizeRelH relativeFrom="page">
              <wp14:pctWidth>0</wp14:pctWidth>
            </wp14:sizeRelH>
            <wp14:sizeRelV relativeFrom="page">
              <wp14:pctHeight>0</wp14:pctHeight>
            </wp14:sizeRelV>
          </wp:anchor>
        </w:drawing>
      </w:r>
      <w:r w:rsidR="00555E72" w:rsidRPr="00555E72">
        <w:fldChar w:fldCharType="begin"/>
      </w:r>
      <w:r w:rsidR="00555E72" w:rsidRPr="00555E72">
        <w:instrText xml:space="preserve"> TC "</w:instrText>
      </w:r>
      <w:bookmarkStart w:id="54" w:name="_Toc224892276"/>
      <w:bookmarkStart w:id="55" w:name="_Toc231452282"/>
      <w:r w:rsidR="00555E72" w:rsidRPr="00555E72">
        <w:tab/>
        <w:instrText>Schedule No. 1-A</w:instrText>
      </w:r>
      <w:bookmarkEnd w:id="54"/>
      <w:bookmarkEnd w:id="55"/>
      <w:r w:rsidR="00555E72" w:rsidRPr="00555E72">
        <w:instrText xml:space="preserve">" </w:instrText>
      </w:r>
      <w:r w:rsidR="00555E72" w:rsidRPr="00555E72">
        <w:fldChar w:fldCharType="end"/>
      </w:r>
    </w:p>
    <w:p w14:paraId="159597F1" w14:textId="52E43BBA" w:rsidR="00555E72" w:rsidRPr="00555E72" w:rsidRDefault="00555E72" w:rsidP="00555E72">
      <w:pPr>
        <w:sectPr w:rsidR="00555E72" w:rsidRPr="00555E72" w:rsidSect="00815EC9">
          <w:headerReference w:type="default" r:id="rId19"/>
          <w:pgSz w:w="12240" w:h="15840" w:code="1"/>
          <w:pgMar w:top="1584" w:right="1440" w:bottom="1440" w:left="1440" w:header="720" w:footer="720" w:gutter="0"/>
          <w:cols w:space="720"/>
          <w:formProt w:val="0"/>
          <w:docGrid w:linePitch="360"/>
        </w:sectPr>
      </w:pPr>
      <w:r w:rsidRPr="00555E72">
        <w:br w:type="page"/>
      </w:r>
    </w:p>
    <w:p w14:paraId="26F2BDA3" w14:textId="26A2B066" w:rsidR="00555E72" w:rsidRPr="00555E72" w:rsidRDefault="008B7520" w:rsidP="00555E72">
      <w:r w:rsidRPr="008B7520">
        <w:rPr>
          <w:noProof/>
        </w:rPr>
        <w:drawing>
          <wp:anchor distT="0" distB="0" distL="114300" distR="114300" simplePos="0" relativeHeight="251706880" behindDoc="0" locked="0" layoutInCell="1" allowOverlap="1" wp14:anchorId="6467CFA9" wp14:editId="347E22E4">
            <wp:simplePos x="0" y="0"/>
            <wp:positionH relativeFrom="margin">
              <wp:align>center</wp:align>
            </wp:positionH>
            <wp:positionV relativeFrom="margin">
              <wp:align>top</wp:align>
            </wp:positionV>
            <wp:extent cx="7223760" cy="6734458"/>
            <wp:effectExtent l="0" t="0" r="0" b="0"/>
            <wp:wrapNone/>
            <wp:docPr id="127448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23760" cy="67344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1DBD3" w14:textId="292D46BC" w:rsidR="00555E72" w:rsidRPr="00555E72" w:rsidRDefault="00555E72" w:rsidP="00555E72">
      <w:pPr>
        <w:keepNext/>
        <w:spacing w:after="240"/>
        <w:outlineLvl w:val="0"/>
        <w:rPr>
          <w:rFonts w:ascii="Arial" w:hAnsi="Arial" w:cs="Arial"/>
          <w:b/>
          <w:bCs/>
          <w:kern w:val="32"/>
          <w:szCs w:val="32"/>
        </w:rPr>
        <w:sectPr w:rsidR="00555E72" w:rsidRPr="00555E72" w:rsidSect="00815EC9">
          <w:headerReference w:type="default" r:id="rId21"/>
          <w:pgSz w:w="12240" w:h="15840" w:code="1"/>
          <w:pgMar w:top="1584" w:right="1440" w:bottom="1440" w:left="1440" w:header="720" w:footer="720" w:gutter="0"/>
          <w:cols w:space="720"/>
          <w:formProt w:val="0"/>
          <w:docGrid w:linePitch="360"/>
        </w:sectPr>
      </w:pPr>
      <w:r w:rsidRPr="00555E72">
        <w:rPr>
          <w:rFonts w:ascii="Arial" w:hAnsi="Arial" w:cs="Arial"/>
          <w:b/>
          <w:bCs/>
          <w:kern w:val="32"/>
          <w:szCs w:val="32"/>
        </w:rPr>
        <w:fldChar w:fldCharType="begin"/>
      </w:r>
      <w:r w:rsidRPr="00555E72">
        <w:rPr>
          <w:rFonts w:ascii="Arial" w:hAnsi="Arial" w:cs="Arial"/>
          <w:b/>
          <w:bCs/>
          <w:kern w:val="32"/>
          <w:szCs w:val="32"/>
        </w:rPr>
        <w:instrText xml:space="preserve"> TC "</w:instrText>
      </w:r>
      <w:bookmarkStart w:id="56" w:name="_Toc224892277"/>
      <w:bookmarkStart w:id="57" w:name="_Toc231452283"/>
      <w:r w:rsidRPr="00555E72">
        <w:rPr>
          <w:rFonts w:ascii="Arial" w:hAnsi="Arial" w:cs="Arial"/>
          <w:b/>
          <w:bCs/>
          <w:kern w:val="32"/>
          <w:szCs w:val="32"/>
        </w:rPr>
        <w:tab/>
        <w:instrText>Schedule No. 1-B</w:instrText>
      </w:r>
      <w:bookmarkEnd w:id="56"/>
      <w:bookmarkEnd w:id="57"/>
      <w:r w:rsidRPr="00555E72">
        <w:rPr>
          <w:rFonts w:ascii="Arial" w:hAnsi="Arial" w:cs="Arial"/>
          <w:b/>
          <w:bCs/>
          <w:kern w:val="32"/>
          <w:szCs w:val="32"/>
        </w:rPr>
        <w:instrText xml:space="preserve">" </w:instrText>
      </w:r>
      <w:r w:rsidRPr="00555E72">
        <w:rPr>
          <w:rFonts w:ascii="Arial" w:hAnsi="Arial" w:cs="Arial"/>
          <w:b/>
          <w:bCs/>
          <w:kern w:val="32"/>
          <w:szCs w:val="32"/>
        </w:rPr>
        <w:fldChar w:fldCharType="end"/>
      </w:r>
    </w:p>
    <w:p w14:paraId="4A3AFDAD" w14:textId="4EDC9DD3" w:rsidR="00555E72" w:rsidRPr="00555E72" w:rsidRDefault="00186FA9" w:rsidP="00555E72">
      <w:r w:rsidRPr="00186FA9">
        <w:rPr>
          <w:noProof/>
        </w:rPr>
        <w:drawing>
          <wp:anchor distT="0" distB="0" distL="114300" distR="114300" simplePos="0" relativeHeight="251701760" behindDoc="0" locked="0" layoutInCell="1" allowOverlap="1" wp14:anchorId="02B8A51C" wp14:editId="3053E04F">
            <wp:simplePos x="0" y="0"/>
            <wp:positionH relativeFrom="margin">
              <wp:align>center</wp:align>
            </wp:positionH>
            <wp:positionV relativeFrom="margin">
              <wp:align>top</wp:align>
            </wp:positionV>
            <wp:extent cx="7461504" cy="2582031"/>
            <wp:effectExtent l="0" t="0" r="0" b="0"/>
            <wp:wrapNone/>
            <wp:docPr id="1312566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61504" cy="258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555E72" w:rsidRPr="00555E72">
        <w:fldChar w:fldCharType="begin"/>
      </w:r>
      <w:r w:rsidR="00555E72" w:rsidRPr="00555E72">
        <w:instrText xml:space="preserve"> TC "</w:instrText>
      </w:r>
      <w:bookmarkStart w:id="58" w:name="_Toc224892278"/>
      <w:bookmarkStart w:id="59" w:name="_Toc231452284"/>
      <w:r w:rsidR="00555E72" w:rsidRPr="00555E72">
        <w:tab/>
        <w:instrText>Schedule No. 2</w:instrText>
      </w:r>
      <w:bookmarkEnd w:id="58"/>
      <w:bookmarkEnd w:id="59"/>
      <w:r w:rsidR="00555E72" w:rsidRPr="00555E72">
        <w:instrText xml:space="preserve">" </w:instrText>
      </w:r>
      <w:r w:rsidR="00555E72" w:rsidRPr="00555E72">
        <w:fldChar w:fldCharType="end"/>
      </w:r>
    </w:p>
    <w:p w14:paraId="5422AF63" w14:textId="005F9FF3" w:rsidR="00555E72" w:rsidRPr="00555E72" w:rsidRDefault="00555E72" w:rsidP="00555E72">
      <w:pPr>
        <w:sectPr w:rsidR="00555E72" w:rsidRPr="00555E72" w:rsidSect="00815EC9">
          <w:headerReference w:type="default" r:id="rId23"/>
          <w:pgSz w:w="12240" w:h="15840" w:code="1"/>
          <w:pgMar w:top="1584" w:right="1440" w:bottom="1440" w:left="1440" w:header="720" w:footer="720" w:gutter="0"/>
          <w:cols w:space="720"/>
          <w:formProt w:val="0"/>
          <w:docGrid w:linePitch="360"/>
        </w:sectPr>
      </w:pPr>
      <w:r w:rsidRPr="00555E72">
        <w:br w:type="page"/>
      </w:r>
    </w:p>
    <w:p w14:paraId="51AF4520" w14:textId="58AFF814" w:rsidR="00555E72" w:rsidRPr="00555E72" w:rsidRDefault="00C122E4" w:rsidP="00555E72">
      <w:r w:rsidRPr="00C122E4">
        <w:t xml:space="preserve"> </w:t>
      </w:r>
      <w:r w:rsidR="004C59B9" w:rsidRPr="004C59B9">
        <w:rPr>
          <w:noProof/>
        </w:rPr>
        <w:drawing>
          <wp:anchor distT="0" distB="0" distL="114300" distR="114300" simplePos="0" relativeHeight="251705856" behindDoc="1" locked="0" layoutInCell="1" allowOverlap="1" wp14:anchorId="3BEF125D" wp14:editId="216D7FA7">
            <wp:simplePos x="0" y="0"/>
            <wp:positionH relativeFrom="margin">
              <wp:align>center</wp:align>
            </wp:positionH>
            <wp:positionV relativeFrom="margin">
              <wp:align>top</wp:align>
            </wp:positionV>
            <wp:extent cx="7223760" cy="4254500"/>
            <wp:effectExtent l="0" t="0" r="0" b="0"/>
            <wp:wrapNone/>
            <wp:docPr id="19815095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23760" cy="425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E72" w:rsidRPr="00555E72">
        <w:fldChar w:fldCharType="begin"/>
      </w:r>
      <w:r w:rsidR="00555E72" w:rsidRPr="00555E72">
        <w:instrText xml:space="preserve"> TC "</w:instrText>
      </w:r>
      <w:bookmarkStart w:id="60" w:name="_Toc224892279"/>
      <w:bookmarkStart w:id="61" w:name="_Toc231452285"/>
      <w:r w:rsidR="00555E72" w:rsidRPr="00555E72">
        <w:tab/>
        <w:instrText>Schedule No. 3-A</w:instrText>
      </w:r>
      <w:bookmarkEnd w:id="60"/>
      <w:bookmarkEnd w:id="61"/>
      <w:r w:rsidR="00555E72" w:rsidRPr="00555E72">
        <w:instrText xml:space="preserve">" </w:instrText>
      </w:r>
      <w:r w:rsidR="00555E72" w:rsidRPr="00555E72">
        <w:fldChar w:fldCharType="end"/>
      </w:r>
    </w:p>
    <w:p w14:paraId="4BFBC680" w14:textId="77777777" w:rsidR="00555E72" w:rsidRPr="00555E72" w:rsidRDefault="00555E72" w:rsidP="00555E72">
      <w:pPr>
        <w:sectPr w:rsidR="00555E72" w:rsidRPr="00555E72" w:rsidSect="00815EC9">
          <w:headerReference w:type="default" r:id="rId25"/>
          <w:pgSz w:w="12240" w:h="15840" w:code="1"/>
          <w:pgMar w:top="1584" w:right="1440" w:bottom="1440" w:left="1440" w:header="720" w:footer="720" w:gutter="0"/>
          <w:cols w:space="720"/>
          <w:formProt w:val="0"/>
          <w:docGrid w:linePitch="360"/>
        </w:sectPr>
      </w:pPr>
      <w:r w:rsidRPr="00555E72">
        <w:br w:type="page"/>
      </w:r>
    </w:p>
    <w:p w14:paraId="14FAE93B" w14:textId="45FE127F" w:rsidR="00555E72" w:rsidRPr="00555E72" w:rsidRDefault="00107DEB" w:rsidP="00555E72">
      <w:r w:rsidRPr="00107DEB">
        <w:t xml:space="preserve"> </w:t>
      </w:r>
      <w:r w:rsidR="00715764" w:rsidRPr="00715764">
        <w:rPr>
          <w:noProof/>
        </w:rPr>
        <w:drawing>
          <wp:anchor distT="0" distB="0" distL="114300" distR="114300" simplePos="0" relativeHeight="251709952" behindDoc="0" locked="0" layoutInCell="1" allowOverlap="1" wp14:anchorId="01EC9687" wp14:editId="624AAA9B">
            <wp:simplePos x="0" y="0"/>
            <wp:positionH relativeFrom="margin">
              <wp:align>center</wp:align>
            </wp:positionH>
            <wp:positionV relativeFrom="margin">
              <wp:align>top</wp:align>
            </wp:positionV>
            <wp:extent cx="7223760" cy="8379560"/>
            <wp:effectExtent l="0" t="0" r="0" b="2540"/>
            <wp:wrapNone/>
            <wp:docPr id="112851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23760" cy="837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E72" w:rsidRPr="00555E72">
        <w:fldChar w:fldCharType="begin"/>
      </w:r>
      <w:r w:rsidR="00555E72" w:rsidRPr="00555E72">
        <w:instrText xml:space="preserve"> TC "</w:instrText>
      </w:r>
      <w:bookmarkStart w:id="62" w:name="_Toc224892280"/>
      <w:bookmarkStart w:id="63" w:name="_Toc231452286"/>
      <w:r w:rsidR="00555E72" w:rsidRPr="00555E72">
        <w:tab/>
        <w:instrText>Schedule No. 3-B</w:instrText>
      </w:r>
      <w:bookmarkEnd w:id="62"/>
      <w:bookmarkEnd w:id="63"/>
      <w:r w:rsidR="00555E72" w:rsidRPr="00555E72">
        <w:instrText xml:space="preserve">" </w:instrText>
      </w:r>
      <w:r w:rsidR="00555E72" w:rsidRPr="00555E72">
        <w:fldChar w:fldCharType="end"/>
      </w:r>
    </w:p>
    <w:p w14:paraId="78D22FE8" w14:textId="616CAC5D" w:rsidR="00555E72" w:rsidRPr="00555E72" w:rsidRDefault="00555E72" w:rsidP="00555E72">
      <w:pPr>
        <w:sectPr w:rsidR="00555E72" w:rsidRPr="00555E72" w:rsidSect="00815EC9">
          <w:headerReference w:type="default" r:id="rId27"/>
          <w:pgSz w:w="12240" w:h="15840" w:code="1"/>
          <w:pgMar w:top="1584" w:right="1440" w:bottom="1440" w:left="1440" w:header="720" w:footer="720" w:gutter="0"/>
          <w:cols w:space="720"/>
          <w:formProt w:val="0"/>
          <w:docGrid w:linePitch="360"/>
        </w:sectPr>
      </w:pPr>
      <w:r w:rsidRPr="00555E72">
        <w:t xml:space="preserve"> </w:t>
      </w:r>
      <w:r w:rsidRPr="00555E72">
        <w:br w:type="page"/>
      </w:r>
    </w:p>
    <w:p w14:paraId="3284CF51" w14:textId="415D5D0F" w:rsidR="00555E72" w:rsidRPr="00555E72" w:rsidRDefault="00715764" w:rsidP="00555E72">
      <w:r w:rsidRPr="00715764">
        <w:rPr>
          <w:noProof/>
        </w:rPr>
        <w:drawing>
          <wp:anchor distT="0" distB="0" distL="114300" distR="114300" simplePos="0" relativeHeight="251710976" behindDoc="1" locked="0" layoutInCell="1" allowOverlap="1" wp14:anchorId="0C1D6B2E" wp14:editId="0D3E764B">
            <wp:simplePos x="0" y="0"/>
            <wp:positionH relativeFrom="margin">
              <wp:align>center</wp:align>
            </wp:positionH>
            <wp:positionV relativeFrom="margin">
              <wp:align>top</wp:align>
            </wp:positionV>
            <wp:extent cx="7223760" cy="4184536"/>
            <wp:effectExtent l="0" t="0" r="0" b="0"/>
            <wp:wrapNone/>
            <wp:docPr id="18615569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23760" cy="4184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22FF7" w14:textId="1F5412BC" w:rsidR="00555E72" w:rsidRPr="00555E72" w:rsidRDefault="00555E72" w:rsidP="00555E72">
      <w:pPr>
        <w:sectPr w:rsidR="00555E72" w:rsidRPr="00555E72" w:rsidSect="00815EC9">
          <w:headerReference w:type="default" r:id="rId29"/>
          <w:pgSz w:w="12240" w:h="15840" w:code="1"/>
          <w:pgMar w:top="1584" w:right="1440" w:bottom="1440" w:left="1440" w:header="720" w:footer="720" w:gutter="0"/>
          <w:cols w:space="720"/>
          <w:formProt w:val="0"/>
          <w:docGrid w:linePitch="360"/>
        </w:sectPr>
      </w:pPr>
      <w:r w:rsidRPr="00555E72">
        <w:br w:type="page"/>
      </w:r>
    </w:p>
    <w:p w14:paraId="50C6F2E4" w14:textId="30DE3E65" w:rsidR="00555E72" w:rsidRPr="00555E72" w:rsidRDefault="002A2EC6" w:rsidP="00555E72">
      <w:r w:rsidRPr="002A2EC6">
        <w:rPr>
          <w:noProof/>
        </w:rPr>
        <w:drawing>
          <wp:anchor distT="0" distB="0" distL="114300" distR="114300" simplePos="0" relativeHeight="251692544" behindDoc="1" locked="0" layoutInCell="1" allowOverlap="1" wp14:anchorId="1A6C81A6" wp14:editId="09C40D07">
            <wp:simplePos x="0" y="0"/>
            <wp:positionH relativeFrom="margin">
              <wp:align>center</wp:align>
            </wp:positionH>
            <wp:positionV relativeFrom="margin">
              <wp:align>top</wp:align>
            </wp:positionV>
            <wp:extent cx="7223760" cy="5302055"/>
            <wp:effectExtent l="0" t="0" r="0" b="0"/>
            <wp:wrapNone/>
            <wp:docPr id="1197349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23760" cy="530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55E72" w:rsidRPr="00555E72">
        <w:fldChar w:fldCharType="begin"/>
      </w:r>
      <w:r w:rsidR="00555E72" w:rsidRPr="00555E72">
        <w:instrText xml:space="preserve"> TC "</w:instrText>
      </w:r>
      <w:bookmarkStart w:id="64" w:name="_Toc224892281"/>
      <w:bookmarkStart w:id="65" w:name="_Toc231452287"/>
      <w:r w:rsidR="00555E72" w:rsidRPr="00555E72">
        <w:tab/>
        <w:instrText>Schedule No. 3-C</w:instrText>
      </w:r>
      <w:bookmarkEnd w:id="64"/>
      <w:bookmarkEnd w:id="65"/>
      <w:r w:rsidR="00555E72" w:rsidRPr="00555E72">
        <w:instrText xml:space="preserve">" </w:instrText>
      </w:r>
      <w:r w:rsidR="00555E72" w:rsidRPr="00555E72">
        <w:fldChar w:fldCharType="end"/>
      </w:r>
    </w:p>
    <w:p w14:paraId="7B60FEB3" w14:textId="77777777" w:rsidR="00555E72" w:rsidRPr="00555E72" w:rsidRDefault="00555E72" w:rsidP="00555E72"/>
    <w:p w14:paraId="53180C1E" w14:textId="77777777" w:rsidR="00555E72" w:rsidRPr="00555E72" w:rsidRDefault="00555E72" w:rsidP="00555E72">
      <w:pPr>
        <w:sectPr w:rsidR="00555E72" w:rsidRPr="00555E72" w:rsidSect="00815EC9">
          <w:headerReference w:type="default" r:id="rId31"/>
          <w:pgSz w:w="12240" w:h="15840" w:code="1"/>
          <w:pgMar w:top="1584" w:right="1440" w:bottom="1440" w:left="1440" w:header="720" w:footer="720" w:gutter="0"/>
          <w:cols w:space="720"/>
          <w:formProt w:val="0"/>
          <w:docGrid w:linePitch="360"/>
        </w:sectPr>
      </w:pPr>
    </w:p>
    <w:tbl>
      <w:tblPr>
        <w:tblW w:w="10506" w:type="dxa"/>
        <w:jc w:val="center"/>
        <w:tblLook w:val="04A0" w:firstRow="1" w:lastRow="0" w:firstColumn="1" w:lastColumn="0" w:noHBand="0" w:noVBand="1"/>
      </w:tblPr>
      <w:tblGrid>
        <w:gridCol w:w="5000"/>
        <w:gridCol w:w="1620"/>
        <w:gridCol w:w="1872"/>
        <w:gridCol w:w="2014"/>
      </w:tblGrid>
      <w:tr w:rsidR="009437CB" w:rsidRPr="009437CB" w14:paraId="5136CFEC" w14:textId="77777777" w:rsidTr="008A1092">
        <w:trPr>
          <w:trHeight w:val="249"/>
          <w:jc w:val="center"/>
        </w:trPr>
        <w:tc>
          <w:tcPr>
            <w:tcW w:w="5000" w:type="dxa"/>
            <w:tcBorders>
              <w:top w:val="single" w:sz="8" w:space="0" w:color="000000"/>
              <w:left w:val="single" w:sz="8" w:space="0" w:color="000000"/>
              <w:bottom w:val="nil"/>
              <w:right w:val="nil"/>
            </w:tcBorders>
            <w:shd w:val="clear" w:color="auto" w:fill="auto"/>
            <w:noWrap/>
            <w:vAlign w:val="center"/>
            <w:hideMark/>
          </w:tcPr>
          <w:p w14:paraId="3B6FA1B6" w14:textId="0E353510" w:rsidR="009437CB" w:rsidRPr="009437CB" w:rsidRDefault="009437CB" w:rsidP="009437CB">
            <w:pPr>
              <w:rPr>
                <w:b/>
                <w:bCs/>
                <w:color w:val="000000"/>
                <w:sz w:val="20"/>
                <w:szCs w:val="20"/>
              </w:rPr>
            </w:pPr>
            <w:r w:rsidRPr="009437CB">
              <w:rPr>
                <w:b/>
                <w:bCs/>
                <w:color w:val="000000"/>
                <w:sz w:val="20"/>
                <w:szCs w:val="20"/>
              </w:rPr>
              <w:t>SUNLAKE ESTATES UTILITIES</w:t>
            </w:r>
            <w:r w:rsidR="006F061E">
              <w:rPr>
                <w:b/>
                <w:bCs/>
                <w:color w:val="000000"/>
                <w:sz w:val="20"/>
                <w:szCs w:val="20"/>
              </w:rPr>
              <w:t>, L.L.C.</w:t>
            </w:r>
          </w:p>
        </w:tc>
        <w:tc>
          <w:tcPr>
            <w:tcW w:w="1620" w:type="dxa"/>
            <w:tcBorders>
              <w:top w:val="single" w:sz="8" w:space="0" w:color="000000"/>
              <w:left w:val="nil"/>
              <w:bottom w:val="nil"/>
              <w:right w:val="nil"/>
            </w:tcBorders>
            <w:shd w:val="clear" w:color="auto" w:fill="auto"/>
            <w:noWrap/>
            <w:vAlign w:val="center"/>
            <w:hideMark/>
          </w:tcPr>
          <w:p w14:paraId="449B9B4F" w14:textId="77777777" w:rsidR="009437CB" w:rsidRPr="009437CB" w:rsidRDefault="009437CB" w:rsidP="009437CB">
            <w:pPr>
              <w:rPr>
                <w:b/>
                <w:bCs/>
                <w:color w:val="000000"/>
                <w:sz w:val="20"/>
                <w:szCs w:val="20"/>
              </w:rPr>
            </w:pPr>
            <w:r w:rsidRPr="009437CB">
              <w:rPr>
                <w:b/>
                <w:bCs/>
                <w:color w:val="000000"/>
                <w:sz w:val="20"/>
                <w:szCs w:val="20"/>
              </w:rPr>
              <w:t> </w:t>
            </w:r>
          </w:p>
        </w:tc>
        <w:tc>
          <w:tcPr>
            <w:tcW w:w="1872" w:type="dxa"/>
            <w:tcBorders>
              <w:top w:val="single" w:sz="8" w:space="0" w:color="000000"/>
              <w:left w:val="nil"/>
              <w:bottom w:val="nil"/>
              <w:right w:val="nil"/>
            </w:tcBorders>
            <w:shd w:val="clear" w:color="auto" w:fill="auto"/>
            <w:noWrap/>
            <w:vAlign w:val="center"/>
            <w:hideMark/>
          </w:tcPr>
          <w:p w14:paraId="20A1F786" w14:textId="77777777" w:rsidR="009437CB" w:rsidRPr="009437CB" w:rsidRDefault="009437CB" w:rsidP="009437CB">
            <w:pPr>
              <w:rPr>
                <w:b/>
                <w:bCs/>
                <w:color w:val="000000"/>
                <w:sz w:val="20"/>
                <w:szCs w:val="20"/>
              </w:rPr>
            </w:pPr>
            <w:r w:rsidRPr="009437CB">
              <w:rPr>
                <w:b/>
                <w:bCs/>
                <w:color w:val="000000"/>
                <w:sz w:val="20"/>
                <w:szCs w:val="20"/>
              </w:rPr>
              <w:t> </w:t>
            </w:r>
          </w:p>
        </w:tc>
        <w:tc>
          <w:tcPr>
            <w:tcW w:w="2014" w:type="dxa"/>
            <w:tcBorders>
              <w:top w:val="single" w:sz="8" w:space="0" w:color="000000"/>
              <w:left w:val="nil"/>
              <w:bottom w:val="nil"/>
              <w:right w:val="single" w:sz="8" w:space="0" w:color="000000"/>
            </w:tcBorders>
            <w:shd w:val="clear" w:color="auto" w:fill="auto"/>
            <w:noWrap/>
            <w:vAlign w:val="center"/>
            <w:hideMark/>
          </w:tcPr>
          <w:p w14:paraId="00A190A6" w14:textId="77777777" w:rsidR="009437CB" w:rsidRPr="009437CB" w:rsidRDefault="009437CB" w:rsidP="009437CB">
            <w:pPr>
              <w:jc w:val="right"/>
              <w:rPr>
                <w:b/>
                <w:bCs/>
                <w:color w:val="000000"/>
                <w:sz w:val="20"/>
                <w:szCs w:val="20"/>
              </w:rPr>
            </w:pPr>
            <w:r w:rsidRPr="009437CB">
              <w:rPr>
                <w:b/>
                <w:bCs/>
                <w:color w:val="000000"/>
                <w:sz w:val="20"/>
                <w:szCs w:val="20"/>
              </w:rPr>
              <w:t>SCHEDULE NO. 4</w:t>
            </w:r>
          </w:p>
        </w:tc>
      </w:tr>
      <w:tr w:rsidR="009437CB" w:rsidRPr="009437CB" w14:paraId="2C601578"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3ED3839A" w14:textId="3CB35C4C" w:rsidR="009437CB" w:rsidRPr="009437CB" w:rsidRDefault="009437CB" w:rsidP="009437CB">
            <w:pPr>
              <w:rPr>
                <w:b/>
                <w:bCs/>
                <w:color w:val="000000"/>
                <w:sz w:val="20"/>
                <w:szCs w:val="20"/>
              </w:rPr>
            </w:pPr>
            <w:r w:rsidRPr="009437CB">
              <w:rPr>
                <w:b/>
                <w:bCs/>
                <w:color w:val="000000"/>
                <w:sz w:val="20"/>
                <w:szCs w:val="20"/>
              </w:rPr>
              <w:t xml:space="preserve">TEST YEAR ENDED </w:t>
            </w:r>
            <w:r w:rsidR="006F061E">
              <w:rPr>
                <w:b/>
                <w:bCs/>
                <w:color w:val="000000"/>
                <w:sz w:val="20"/>
                <w:szCs w:val="20"/>
              </w:rPr>
              <w:t>12/31/2024</w:t>
            </w:r>
          </w:p>
        </w:tc>
        <w:tc>
          <w:tcPr>
            <w:tcW w:w="1620" w:type="dxa"/>
            <w:tcBorders>
              <w:top w:val="nil"/>
              <w:left w:val="nil"/>
              <w:bottom w:val="nil"/>
              <w:right w:val="nil"/>
            </w:tcBorders>
            <w:shd w:val="clear" w:color="auto" w:fill="auto"/>
            <w:noWrap/>
            <w:vAlign w:val="bottom"/>
            <w:hideMark/>
          </w:tcPr>
          <w:p w14:paraId="536C7B58" w14:textId="77777777" w:rsidR="009437CB" w:rsidRPr="009437CB" w:rsidRDefault="009437CB" w:rsidP="009437CB">
            <w:pPr>
              <w:rPr>
                <w:b/>
                <w:bCs/>
                <w:color w:val="000000"/>
                <w:sz w:val="20"/>
                <w:szCs w:val="20"/>
              </w:rPr>
            </w:pPr>
          </w:p>
        </w:tc>
        <w:tc>
          <w:tcPr>
            <w:tcW w:w="3886" w:type="dxa"/>
            <w:gridSpan w:val="2"/>
            <w:tcBorders>
              <w:top w:val="nil"/>
              <w:left w:val="nil"/>
              <w:bottom w:val="nil"/>
              <w:right w:val="single" w:sz="8" w:space="0" w:color="000000"/>
            </w:tcBorders>
            <w:shd w:val="clear" w:color="auto" w:fill="auto"/>
            <w:noWrap/>
            <w:vAlign w:val="center"/>
            <w:hideMark/>
          </w:tcPr>
          <w:p w14:paraId="03C4B4FE" w14:textId="77777777" w:rsidR="009437CB" w:rsidRPr="009437CB" w:rsidRDefault="009437CB" w:rsidP="009437CB">
            <w:pPr>
              <w:jc w:val="right"/>
              <w:rPr>
                <w:b/>
                <w:bCs/>
                <w:color w:val="000000"/>
                <w:sz w:val="20"/>
                <w:szCs w:val="20"/>
              </w:rPr>
            </w:pPr>
            <w:r w:rsidRPr="009437CB">
              <w:rPr>
                <w:b/>
                <w:bCs/>
                <w:color w:val="000000"/>
                <w:sz w:val="20"/>
                <w:szCs w:val="20"/>
              </w:rPr>
              <w:t>DOCKET NO. 20250108-WS</w:t>
            </w:r>
          </w:p>
        </w:tc>
      </w:tr>
      <w:tr w:rsidR="009437CB" w:rsidRPr="009437CB" w14:paraId="40E3466B" w14:textId="77777777" w:rsidTr="008A1092">
        <w:trPr>
          <w:trHeight w:val="309"/>
          <w:jc w:val="center"/>
        </w:trPr>
        <w:tc>
          <w:tcPr>
            <w:tcW w:w="5000" w:type="dxa"/>
            <w:tcBorders>
              <w:top w:val="nil"/>
              <w:left w:val="single" w:sz="8" w:space="0" w:color="000000"/>
              <w:bottom w:val="single" w:sz="8" w:space="0" w:color="000000"/>
              <w:right w:val="nil"/>
            </w:tcBorders>
            <w:shd w:val="clear" w:color="auto" w:fill="auto"/>
            <w:noWrap/>
            <w:vAlign w:val="center"/>
            <w:hideMark/>
          </w:tcPr>
          <w:p w14:paraId="7D2461F9" w14:textId="77777777" w:rsidR="009437CB" w:rsidRPr="009437CB" w:rsidRDefault="009437CB" w:rsidP="009437CB">
            <w:pPr>
              <w:rPr>
                <w:b/>
                <w:bCs/>
                <w:color w:val="000000"/>
                <w:sz w:val="20"/>
                <w:szCs w:val="20"/>
              </w:rPr>
            </w:pPr>
            <w:r w:rsidRPr="009437CB">
              <w:rPr>
                <w:b/>
                <w:bCs/>
                <w:color w:val="000000"/>
                <w:sz w:val="20"/>
                <w:szCs w:val="20"/>
              </w:rPr>
              <w:t>MONTHLY WATER RATES</w:t>
            </w:r>
          </w:p>
        </w:tc>
        <w:tc>
          <w:tcPr>
            <w:tcW w:w="1620" w:type="dxa"/>
            <w:tcBorders>
              <w:top w:val="nil"/>
              <w:left w:val="nil"/>
              <w:bottom w:val="single" w:sz="8" w:space="0" w:color="000000"/>
              <w:right w:val="nil"/>
            </w:tcBorders>
            <w:shd w:val="clear" w:color="auto" w:fill="auto"/>
            <w:noWrap/>
            <w:vAlign w:val="bottom"/>
            <w:hideMark/>
          </w:tcPr>
          <w:p w14:paraId="77CF954D" w14:textId="77777777" w:rsidR="009437CB" w:rsidRPr="009437CB" w:rsidRDefault="009437CB" w:rsidP="009437CB">
            <w:pPr>
              <w:rPr>
                <w:sz w:val="20"/>
                <w:szCs w:val="20"/>
              </w:rPr>
            </w:pPr>
            <w:r w:rsidRPr="009437CB">
              <w:rPr>
                <w:sz w:val="20"/>
                <w:szCs w:val="20"/>
              </w:rPr>
              <w:t> </w:t>
            </w:r>
          </w:p>
        </w:tc>
        <w:tc>
          <w:tcPr>
            <w:tcW w:w="1872" w:type="dxa"/>
            <w:tcBorders>
              <w:top w:val="nil"/>
              <w:left w:val="nil"/>
              <w:bottom w:val="single" w:sz="8" w:space="0" w:color="000000"/>
              <w:right w:val="nil"/>
            </w:tcBorders>
            <w:shd w:val="clear" w:color="auto" w:fill="auto"/>
            <w:noWrap/>
            <w:vAlign w:val="bottom"/>
            <w:hideMark/>
          </w:tcPr>
          <w:p w14:paraId="719F90F3" w14:textId="77777777" w:rsidR="009437CB" w:rsidRPr="009437CB" w:rsidRDefault="009437CB" w:rsidP="009437CB">
            <w:pPr>
              <w:rPr>
                <w:sz w:val="20"/>
                <w:szCs w:val="20"/>
              </w:rPr>
            </w:pPr>
            <w:r w:rsidRPr="009437CB">
              <w:rPr>
                <w:sz w:val="20"/>
                <w:szCs w:val="20"/>
              </w:rPr>
              <w:t> </w:t>
            </w:r>
          </w:p>
        </w:tc>
        <w:tc>
          <w:tcPr>
            <w:tcW w:w="2014" w:type="dxa"/>
            <w:tcBorders>
              <w:top w:val="nil"/>
              <w:left w:val="nil"/>
              <w:bottom w:val="single" w:sz="8" w:space="0" w:color="000000"/>
              <w:right w:val="single" w:sz="8" w:space="0" w:color="000000"/>
            </w:tcBorders>
            <w:shd w:val="clear" w:color="auto" w:fill="auto"/>
            <w:noWrap/>
            <w:vAlign w:val="center"/>
            <w:hideMark/>
          </w:tcPr>
          <w:p w14:paraId="11889C5D" w14:textId="77777777" w:rsidR="009437CB" w:rsidRPr="009437CB" w:rsidRDefault="009437CB" w:rsidP="009437CB">
            <w:pPr>
              <w:rPr>
                <w:b/>
                <w:bCs/>
                <w:sz w:val="20"/>
                <w:szCs w:val="20"/>
              </w:rPr>
            </w:pPr>
            <w:r w:rsidRPr="009437CB">
              <w:rPr>
                <w:b/>
                <w:bCs/>
                <w:sz w:val="20"/>
                <w:szCs w:val="20"/>
              </w:rPr>
              <w:t> </w:t>
            </w:r>
          </w:p>
        </w:tc>
      </w:tr>
      <w:tr w:rsidR="009437CB" w:rsidRPr="009437CB" w14:paraId="6168B312" w14:textId="77777777" w:rsidTr="008A1092">
        <w:trPr>
          <w:trHeight w:val="300"/>
          <w:jc w:val="center"/>
        </w:trPr>
        <w:tc>
          <w:tcPr>
            <w:tcW w:w="5000" w:type="dxa"/>
            <w:tcBorders>
              <w:top w:val="nil"/>
              <w:left w:val="single" w:sz="8" w:space="0" w:color="000000"/>
              <w:bottom w:val="nil"/>
              <w:right w:val="nil"/>
            </w:tcBorders>
            <w:shd w:val="clear" w:color="000000" w:fill="D9D9D9"/>
            <w:noWrap/>
            <w:vAlign w:val="center"/>
            <w:hideMark/>
          </w:tcPr>
          <w:p w14:paraId="6A115E45" w14:textId="77777777" w:rsidR="009437CB" w:rsidRPr="009437CB" w:rsidRDefault="009437CB" w:rsidP="009437CB">
            <w:pPr>
              <w:rPr>
                <w:b/>
                <w:bCs/>
                <w:sz w:val="20"/>
                <w:szCs w:val="20"/>
              </w:rPr>
            </w:pPr>
            <w:r w:rsidRPr="009437CB">
              <w:rPr>
                <w:b/>
                <w:bCs/>
                <w:sz w:val="20"/>
                <w:szCs w:val="20"/>
              </w:rPr>
              <w:t> </w:t>
            </w:r>
          </w:p>
        </w:tc>
        <w:tc>
          <w:tcPr>
            <w:tcW w:w="1620" w:type="dxa"/>
            <w:tcBorders>
              <w:top w:val="nil"/>
              <w:left w:val="nil"/>
              <w:bottom w:val="nil"/>
              <w:right w:val="nil"/>
            </w:tcBorders>
            <w:shd w:val="clear" w:color="000000" w:fill="D9D9D9"/>
            <w:noWrap/>
            <w:vAlign w:val="center"/>
            <w:hideMark/>
          </w:tcPr>
          <w:p w14:paraId="375A7062" w14:textId="77777777" w:rsidR="009437CB" w:rsidRPr="009437CB" w:rsidRDefault="009437CB" w:rsidP="009437CB">
            <w:pPr>
              <w:jc w:val="center"/>
              <w:rPr>
                <w:b/>
                <w:bCs/>
                <w:color w:val="000000"/>
                <w:sz w:val="20"/>
                <w:szCs w:val="20"/>
              </w:rPr>
            </w:pPr>
            <w:r w:rsidRPr="009437CB">
              <w:rPr>
                <w:b/>
                <w:bCs/>
                <w:color w:val="000000"/>
                <w:sz w:val="20"/>
                <w:szCs w:val="20"/>
              </w:rPr>
              <w:t>UTILITY</w:t>
            </w:r>
          </w:p>
        </w:tc>
        <w:tc>
          <w:tcPr>
            <w:tcW w:w="1872" w:type="dxa"/>
            <w:tcBorders>
              <w:top w:val="nil"/>
              <w:left w:val="nil"/>
              <w:bottom w:val="nil"/>
              <w:right w:val="nil"/>
            </w:tcBorders>
            <w:shd w:val="clear" w:color="000000" w:fill="D9D9D9"/>
            <w:noWrap/>
            <w:vAlign w:val="center"/>
            <w:hideMark/>
          </w:tcPr>
          <w:p w14:paraId="239627FC" w14:textId="77777777" w:rsidR="009437CB" w:rsidRPr="009437CB" w:rsidRDefault="009437CB" w:rsidP="009437CB">
            <w:pPr>
              <w:jc w:val="center"/>
              <w:rPr>
                <w:b/>
                <w:bCs/>
                <w:color w:val="000000"/>
                <w:sz w:val="20"/>
                <w:szCs w:val="20"/>
              </w:rPr>
            </w:pPr>
            <w:r w:rsidRPr="009437CB">
              <w:rPr>
                <w:b/>
                <w:bCs/>
                <w:color w:val="000000"/>
                <w:sz w:val="20"/>
                <w:szCs w:val="20"/>
              </w:rPr>
              <w:t>STAFF</w:t>
            </w:r>
          </w:p>
        </w:tc>
        <w:tc>
          <w:tcPr>
            <w:tcW w:w="2014" w:type="dxa"/>
            <w:tcBorders>
              <w:top w:val="nil"/>
              <w:left w:val="nil"/>
              <w:bottom w:val="nil"/>
              <w:right w:val="single" w:sz="8" w:space="0" w:color="000000"/>
            </w:tcBorders>
            <w:shd w:val="clear" w:color="000000" w:fill="D9D9D9"/>
            <w:noWrap/>
            <w:vAlign w:val="center"/>
            <w:hideMark/>
          </w:tcPr>
          <w:p w14:paraId="5288B3DB" w14:textId="3E0B6D46" w:rsidR="009437CB" w:rsidRPr="009437CB" w:rsidRDefault="009437CB" w:rsidP="009437CB">
            <w:pPr>
              <w:jc w:val="center"/>
              <w:rPr>
                <w:b/>
                <w:bCs/>
                <w:color w:val="000000"/>
                <w:sz w:val="20"/>
                <w:szCs w:val="20"/>
              </w:rPr>
            </w:pPr>
            <w:r w:rsidRPr="009437CB">
              <w:rPr>
                <w:b/>
                <w:bCs/>
                <w:color w:val="000000"/>
                <w:sz w:val="20"/>
                <w:szCs w:val="20"/>
              </w:rPr>
              <w:t>4</w:t>
            </w:r>
            <w:r w:rsidR="00143CB9">
              <w:rPr>
                <w:b/>
                <w:bCs/>
                <w:color w:val="000000"/>
                <w:sz w:val="20"/>
                <w:szCs w:val="20"/>
              </w:rPr>
              <w:t>-</w:t>
            </w:r>
            <w:r w:rsidRPr="009437CB">
              <w:rPr>
                <w:b/>
                <w:bCs/>
                <w:color w:val="000000"/>
                <w:sz w:val="20"/>
                <w:szCs w:val="20"/>
              </w:rPr>
              <w:t>YEAR</w:t>
            </w:r>
          </w:p>
        </w:tc>
      </w:tr>
      <w:tr w:rsidR="009437CB" w:rsidRPr="009437CB" w14:paraId="21385F98" w14:textId="77777777" w:rsidTr="008A1092">
        <w:trPr>
          <w:trHeight w:val="300"/>
          <w:jc w:val="center"/>
        </w:trPr>
        <w:tc>
          <w:tcPr>
            <w:tcW w:w="5000" w:type="dxa"/>
            <w:tcBorders>
              <w:top w:val="nil"/>
              <w:left w:val="single" w:sz="8" w:space="0" w:color="000000"/>
              <w:bottom w:val="nil"/>
              <w:right w:val="nil"/>
            </w:tcBorders>
            <w:shd w:val="clear" w:color="000000" w:fill="D9D9D9"/>
            <w:noWrap/>
            <w:vAlign w:val="bottom"/>
            <w:hideMark/>
          </w:tcPr>
          <w:p w14:paraId="08AAA391"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000000" w:fill="D9D9D9"/>
            <w:noWrap/>
            <w:vAlign w:val="center"/>
            <w:hideMark/>
          </w:tcPr>
          <w:p w14:paraId="1551A5FB" w14:textId="77777777" w:rsidR="009437CB" w:rsidRPr="009437CB" w:rsidRDefault="009437CB" w:rsidP="009437CB">
            <w:pPr>
              <w:jc w:val="center"/>
              <w:rPr>
                <w:b/>
                <w:bCs/>
                <w:color w:val="000000"/>
                <w:sz w:val="20"/>
                <w:szCs w:val="20"/>
              </w:rPr>
            </w:pPr>
            <w:r w:rsidRPr="009437CB">
              <w:rPr>
                <w:b/>
                <w:bCs/>
                <w:color w:val="000000"/>
                <w:sz w:val="20"/>
                <w:szCs w:val="20"/>
              </w:rPr>
              <w:t>CURRENT</w:t>
            </w:r>
          </w:p>
        </w:tc>
        <w:tc>
          <w:tcPr>
            <w:tcW w:w="1872" w:type="dxa"/>
            <w:tcBorders>
              <w:top w:val="nil"/>
              <w:left w:val="nil"/>
              <w:bottom w:val="nil"/>
              <w:right w:val="nil"/>
            </w:tcBorders>
            <w:shd w:val="clear" w:color="000000" w:fill="D9D9D9"/>
            <w:noWrap/>
            <w:vAlign w:val="center"/>
            <w:hideMark/>
          </w:tcPr>
          <w:p w14:paraId="7859396A" w14:textId="77777777" w:rsidR="009437CB" w:rsidRPr="009437CB" w:rsidRDefault="009437CB" w:rsidP="009437CB">
            <w:pPr>
              <w:jc w:val="center"/>
              <w:rPr>
                <w:b/>
                <w:bCs/>
                <w:color w:val="000000"/>
                <w:sz w:val="20"/>
                <w:szCs w:val="20"/>
              </w:rPr>
            </w:pPr>
            <w:r w:rsidRPr="009437CB">
              <w:rPr>
                <w:b/>
                <w:bCs/>
                <w:color w:val="000000"/>
                <w:sz w:val="20"/>
                <w:szCs w:val="20"/>
              </w:rPr>
              <w:t>RECOMMENDED</w:t>
            </w:r>
          </w:p>
        </w:tc>
        <w:tc>
          <w:tcPr>
            <w:tcW w:w="2014" w:type="dxa"/>
            <w:tcBorders>
              <w:top w:val="nil"/>
              <w:left w:val="nil"/>
              <w:bottom w:val="nil"/>
              <w:right w:val="single" w:sz="8" w:space="0" w:color="000000"/>
            </w:tcBorders>
            <w:shd w:val="clear" w:color="000000" w:fill="D9D9D9"/>
            <w:noWrap/>
            <w:vAlign w:val="center"/>
            <w:hideMark/>
          </w:tcPr>
          <w:p w14:paraId="11FC904C" w14:textId="77777777" w:rsidR="009437CB" w:rsidRPr="009437CB" w:rsidRDefault="009437CB" w:rsidP="009437CB">
            <w:pPr>
              <w:jc w:val="center"/>
              <w:rPr>
                <w:b/>
                <w:bCs/>
                <w:color w:val="000000"/>
                <w:sz w:val="20"/>
                <w:szCs w:val="20"/>
              </w:rPr>
            </w:pPr>
            <w:r w:rsidRPr="009437CB">
              <w:rPr>
                <w:b/>
                <w:bCs/>
                <w:color w:val="000000"/>
                <w:sz w:val="20"/>
                <w:szCs w:val="20"/>
              </w:rPr>
              <w:t>RATE</w:t>
            </w:r>
          </w:p>
        </w:tc>
      </w:tr>
      <w:tr w:rsidR="009437CB" w:rsidRPr="009437CB" w14:paraId="694969BA" w14:textId="77777777" w:rsidTr="008A1092">
        <w:trPr>
          <w:trHeight w:val="309"/>
          <w:jc w:val="center"/>
        </w:trPr>
        <w:tc>
          <w:tcPr>
            <w:tcW w:w="5000" w:type="dxa"/>
            <w:tcBorders>
              <w:top w:val="nil"/>
              <w:left w:val="single" w:sz="8" w:space="0" w:color="000000"/>
              <w:bottom w:val="single" w:sz="8" w:space="0" w:color="000000"/>
              <w:right w:val="nil"/>
            </w:tcBorders>
            <w:shd w:val="clear" w:color="000000" w:fill="D9D9D9"/>
            <w:noWrap/>
            <w:vAlign w:val="bottom"/>
            <w:hideMark/>
          </w:tcPr>
          <w:p w14:paraId="0AB8159A"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single" w:sz="8" w:space="0" w:color="000000"/>
              <w:right w:val="nil"/>
            </w:tcBorders>
            <w:shd w:val="clear" w:color="000000" w:fill="D9D9D9"/>
            <w:noWrap/>
            <w:vAlign w:val="center"/>
            <w:hideMark/>
          </w:tcPr>
          <w:p w14:paraId="53215E15" w14:textId="77777777" w:rsidR="009437CB" w:rsidRPr="009437CB" w:rsidRDefault="009437CB" w:rsidP="009437CB">
            <w:pPr>
              <w:jc w:val="center"/>
              <w:rPr>
                <w:b/>
                <w:bCs/>
                <w:color w:val="000000"/>
                <w:sz w:val="20"/>
                <w:szCs w:val="20"/>
              </w:rPr>
            </w:pPr>
            <w:r w:rsidRPr="009437CB">
              <w:rPr>
                <w:b/>
                <w:bCs/>
                <w:color w:val="000000"/>
                <w:sz w:val="20"/>
                <w:szCs w:val="20"/>
              </w:rPr>
              <w:t xml:space="preserve">RATES </w:t>
            </w:r>
          </w:p>
        </w:tc>
        <w:tc>
          <w:tcPr>
            <w:tcW w:w="1872" w:type="dxa"/>
            <w:tcBorders>
              <w:top w:val="nil"/>
              <w:left w:val="nil"/>
              <w:bottom w:val="single" w:sz="8" w:space="0" w:color="000000"/>
              <w:right w:val="nil"/>
            </w:tcBorders>
            <w:shd w:val="clear" w:color="000000" w:fill="D9D9D9"/>
            <w:noWrap/>
            <w:vAlign w:val="center"/>
            <w:hideMark/>
          </w:tcPr>
          <w:p w14:paraId="42231AC1" w14:textId="77777777" w:rsidR="009437CB" w:rsidRPr="009437CB" w:rsidRDefault="009437CB" w:rsidP="009437CB">
            <w:pPr>
              <w:jc w:val="center"/>
              <w:rPr>
                <w:b/>
                <w:bCs/>
                <w:color w:val="000000"/>
                <w:sz w:val="20"/>
                <w:szCs w:val="20"/>
              </w:rPr>
            </w:pPr>
            <w:r w:rsidRPr="009437CB">
              <w:rPr>
                <w:b/>
                <w:bCs/>
                <w:color w:val="000000"/>
                <w:sz w:val="20"/>
                <w:szCs w:val="20"/>
              </w:rPr>
              <w:t>RATES</w:t>
            </w:r>
          </w:p>
        </w:tc>
        <w:tc>
          <w:tcPr>
            <w:tcW w:w="2014" w:type="dxa"/>
            <w:tcBorders>
              <w:top w:val="nil"/>
              <w:left w:val="nil"/>
              <w:bottom w:val="single" w:sz="8" w:space="0" w:color="000000"/>
              <w:right w:val="single" w:sz="8" w:space="0" w:color="000000"/>
            </w:tcBorders>
            <w:shd w:val="clear" w:color="000000" w:fill="D9D9D9"/>
            <w:noWrap/>
            <w:vAlign w:val="center"/>
            <w:hideMark/>
          </w:tcPr>
          <w:p w14:paraId="57C630C2" w14:textId="77777777" w:rsidR="009437CB" w:rsidRPr="009437CB" w:rsidRDefault="009437CB" w:rsidP="009437CB">
            <w:pPr>
              <w:jc w:val="center"/>
              <w:rPr>
                <w:b/>
                <w:bCs/>
                <w:color w:val="000000"/>
                <w:sz w:val="20"/>
                <w:szCs w:val="20"/>
              </w:rPr>
            </w:pPr>
            <w:r w:rsidRPr="009437CB">
              <w:rPr>
                <w:b/>
                <w:bCs/>
                <w:color w:val="000000"/>
                <w:sz w:val="20"/>
                <w:szCs w:val="20"/>
              </w:rPr>
              <w:t>REDUCTION</w:t>
            </w:r>
          </w:p>
        </w:tc>
      </w:tr>
      <w:tr w:rsidR="009437CB" w:rsidRPr="009437CB" w14:paraId="25A0B03F" w14:textId="77777777" w:rsidTr="008A1092">
        <w:trPr>
          <w:trHeight w:val="300"/>
          <w:jc w:val="center"/>
        </w:trPr>
        <w:tc>
          <w:tcPr>
            <w:tcW w:w="5000" w:type="dxa"/>
            <w:tcBorders>
              <w:top w:val="nil"/>
              <w:left w:val="single" w:sz="8" w:space="0" w:color="000000"/>
              <w:bottom w:val="nil"/>
              <w:right w:val="nil"/>
            </w:tcBorders>
            <w:shd w:val="clear" w:color="auto" w:fill="auto"/>
            <w:noWrap/>
            <w:vAlign w:val="bottom"/>
            <w:hideMark/>
          </w:tcPr>
          <w:p w14:paraId="4069E9F3"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auto" w:fill="auto"/>
            <w:noWrap/>
            <w:vAlign w:val="bottom"/>
            <w:hideMark/>
          </w:tcPr>
          <w:p w14:paraId="3A40DFE7"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65DA657A"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0673DAE1"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4E5A473C" w14:textId="77777777" w:rsidTr="008A1092">
        <w:trPr>
          <w:trHeight w:val="300"/>
          <w:jc w:val="center"/>
        </w:trPr>
        <w:tc>
          <w:tcPr>
            <w:tcW w:w="5000" w:type="dxa"/>
            <w:tcBorders>
              <w:top w:val="nil"/>
              <w:left w:val="single" w:sz="8" w:space="0" w:color="000000"/>
              <w:bottom w:val="nil"/>
              <w:right w:val="nil"/>
            </w:tcBorders>
            <w:shd w:val="clear" w:color="auto" w:fill="auto"/>
            <w:noWrap/>
            <w:vAlign w:val="center"/>
            <w:hideMark/>
          </w:tcPr>
          <w:p w14:paraId="209637CE" w14:textId="77777777" w:rsidR="009437CB" w:rsidRPr="009437CB" w:rsidRDefault="009437CB" w:rsidP="009437CB">
            <w:pPr>
              <w:rPr>
                <w:b/>
                <w:bCs/>
                <w:sz w:val="20"/>
                <w:szCs w:val="20"/>
                <w:u w:val="single"/>
              </w:rPr>
            </w:pPr>
            <w:r w:rsidRPr="009437CB">
              <w:rPr>
                <w:b/>
                <w:bCs/>
                <w:sz w:val="20"/>
                <w:szCs w:val="20"/>
                <w:u w:val="single"/>
              </w:rPr>
              <w:t>Residential and General Service</w:t>
            </w:r>
          </w:p>
        </w:tc>
        <w:tc>
          <w:tcPr>
            <w:tcW w:w="1620" w:type="dxa"/>
            <w:tcBorders>
              <w:top w:val="nil"/>
              <w:left w:val="nil"/>
              <w:bottom w:val="nil"/>
              <w:right w:val="nil"/>
            </w:tcBorders>
            <w:shd w:val="clear" w:color="auto" w:fill="auto"/>
            <w:noWrap/>
            <w:vAlign w:val="bottom"/>
            <w:hideMark/>
          </w:tcPr>
          <w:p w14:paraId="3DE7A849" w14:textId="77777777" w:rsidR="009437CB" w:rsidRPr="009437CB" w:rsidRDefault="009437CB" w:rsidP="009437CB">
            <w:pPr>
              <w:rPr>
                <w:b/>
                <w:bCs/>
                <w:sz w:val="20"/>
                <w:szCs w:val="20"/>
                <w:u w:val="single"/>
              </w:rPr>
            </w:pPr>
          </w:p>
        </w:tc>
        <w:tc>
          <w:tcPr>
            <w:tcW w:w="1872" w:type="dxa"/>
            <w:tcBorders>
              <w:top w:val="nil"/>
              <w:left w:val="nil"/>
              <w:bottom w:val="nil"/>
              <w:right w:val="nil"/>
            </w:tcBorders>
            <w:shd w:val="clear" w:color="auto" w:fill="auto"/>
            <w:noWrap/>
            <w:vAlign w:val="bottom"/>
            <w:hideMark/>
          </w:tcPr>
          <w:p w14:paraId="7B2FD92C"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75AB7952" w14:textId="77777777" w:rsidR="009437CB" w:rsidRPr="009437CB" w:rsidRDefault="009437CB" w:rsidP="009437CB">
            <w:pPr>
              <w:rPr>
                <w:color w:val="000000"/>
                <w:sz w:val="20"/>
                <w:szCs w:val="20"/>
              </w:rPr>
            </w:pPr>
            <w:r w:rsidRPr="009437CB">
              <w:rPr>
                <w:color w:val="000000"/>
                <w:sz w:val="20"/>
                <w:szCs w:val="20"/>
              </w:rPr>
              <w:t> </w:t>
            </w:r>
          </w:p>
        </w:tc>
      </w:tr>
      <w:tr w:rsidR="009437CB" w:rsidRPr="009437CB" w14:paraId="1E60653C" w14:textId="77777777" w:rsidTr="008A1092">
        <w:trPr>
          <w:trHeight w:val="300"/>
          <w:jc w:val="center"/>
        </w:trPr>
        <w:tc>
          <w:tcPr>
            <w:tcW w:w="5000" w:type="dxa"/>
            <w:tcBorders>
              <w:top w:val="nil"/>
              <w:left w:val="single" w:sz="8" w:space="0" w:color="000000"/>
              <w:bottom w:val="nil"/>
              <w:right w:val="nil"/>
            </w:tcBorders>
            <w:shd w:val="clear" w:color="auto" w:fill="auto"/>
            <w:noWrap/>
            <w:vAlign w:val="center"/>
            <w:hideMark/>
          </w:tcPr>
          <w:p w14:paraId="786B99CB" w14:textId="77777777" w:rsidR="009437CB" w:rsidRPr="009437CB" w:rsidRDefault="009437CB" w:rsidP="009437CB">
            <w:pPr>
              <w:rPr>
                <w:sz w:val="20"/>
                <w:szCs w:val="20"/>
              </w:rPr>
            </w:pPr>
            <w:r w:rsidRPr="009437CB">
              <w:rPr>
                <w:sz w:val="20"/>
                <w:szCs w:val="20"/>
              </w:rPr>
              <w:t>Base Facility Charge by Meter Size</w:t>
            </w:r>
          </w:p>
        </w:tc>
        <w:tc>
          <w:tcPr>
            <w:tcW w:w="1620" w:type="dxa"/>
            <w:tcBorders>
              <w:top w:val="nil"/>
              <w:left w:val="nil"/>
              <w:bottom w:val="nil"/>
              <w:right w:val="nil"/>
            </w:tcBorders>
            <w:shd w:val="clear" w:color="auto" w:fill="auto"/>
            <w:noWrap/>
            <w:vAlign w:val="bottom"/>
            <w:hideMark/>
          </w:tcPr>
          <w:p w14:paraId="52F7E825"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0B91C6C2"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7282C8DB" w14:textId="77777777" w:rsidR="009437CB" w:rsidRPr="009437CB" w:rsidRDefault="009437CB" w:rsidP="009437CB">
            <w:pPr>
              <w:rPr>
                <w:color w:val="000000"/>
                <w:sz w:val="20"/>
                <w:szCs w:val="20"/>
              </w:rPr>
            </w:pPr>
            <w:r w:rsidRPr="009437CB">
              <w:rPr>
                <w:color w:val="000000"/>
                <w:sz w:val="20"/>
                <w:szCs w:val="20"/>
              </w:rPr>
              <w:t> </w:t>
            </w:r>
          </w:p>
        </w:tc>
      </w:tr>
      <w:tr w:rsidR="009437CB" w:rsidRPr="009437CB" w14:paraId="24CF1D8A" w14:textId="77777777" w:rsidTr="008A1092">
        <w:trPr>
          <w:trHeight w:val="300"/>
          <w:jc w:val="center"/>
        </w:trPr>
        <w:tc>
          <w:tcPr>
            <w:tcW w:w="5000" w:type="dxa"/>
            <w:tcBorders>
              <w:top w:val="nil"/>
              <w:left w:val="single" w:sz="8" w:space="0" w:color="000000"/>
              <w:bottom w:val="nil"/>
              <w:right w:val="nil"/>
            </w:tcBorders>
            <w:shd w:val="clear" w:color="auto" w:fill="auto"/>
            <w:noWrap/>
            <w:vAlign w:val="center"/>
            <w:hideMark/>
          </w:tcPr>
          <w:p w14:paraId="73186305" w14:textId="77777777" w:rsidR="009437CB" w:rsidRPr="009437CB" w:rsidRDefault="009437CB" w:rsidP="009437CB">
            <w:pPr>
              <w:rPr>
                <w:color w:val="000000"/>
                <w:sz w:val="20"/>
                <w:szCs w:val="20"/>
              </w:rPr>
            </w:pPr>
            <w:r w:rsidRPr="009437CB">
              <w:rPr>
                <w:color w:val="000000"/>
                <w:sz w:val="20"/>
                <w:szCs w:val="20"/>
              </w:rPr>
              <w:t>5/8"X 3/4"</w:t>
            </w:r>
          </w:p>
        </w:tc>
        <w:tc>
          <w:tcPr>
            <w:tcW w:w="1620" w:type="dxa"/>
            <w:tcBorders>
              <w:top w:val="nil"/>
              <w:left w:val="nil"/>
              <w:bottom w:val="nil"/>
              <w:right w:val="nil"/>
            </w:tcBorders>
            <w:shd w:val="clear" w:color="auto" w:fill="auto"/>
            <w:noWrap/>
            <w:vAlign w:val="center"/>
            <w:hideMark/>
          </w:tcPr>
          <w:p w14:paraId="099BA7D0" w14:textId="77777777" w:rsidR="009437CB" w:rsidRPr="009437CB" w:rsidRDefault="009437CB" w:rsidP="009437CB">
            <w:pPr>
              <w:jc w:val="right"/>
              <w:rPr>
                <w:color w:val="000000"/>
                <w:sz w:val="20"/>
                <w:szCs w:val="20"/>
              </w:rPr>
            </w:pPr>
            <w:r w:rsidRPr="009437CB">
              <w:rPr>
                <w:color w:val="000000"/>
                <w:sz w:val="20"/>
                <w:szCs w:val="20"/>
              </w:rPr>
              <w:t xml:space="preserve">$11.74 </w:t>
            </w:r>
          </w:p>
        </w:tc>
        <w:tc>
          <w:tcPr>
            <w:tcW w:w="1872" w:type="dxa"/>
            <w:tcBorders>
              <w:top w:val="nil"/>
              <w:left w:val="nil"/>
              <w:bottom w:val="nil"/>
              <w:right w:val="nil"/>
            </w:tcBorders>
            <w:shd w:val="clear" w:color="auto" w:fill="auto"/>
            <w:noWrap/>
            <w:vAlign w:val="center"/>
            <w:hideMark/>
          </w:tcPr>
          <w:p w14:paraId="338186BE" w14:textId="77777777" w:rsidR="009437CB" w:rsidRPr="009437CB" w:rsidRDefault="009437CB" w:rsidP="009437CB">
            <w:pPr>
              <w:jc w:val="right"/>
              <w:rPr>
                <w:color w:val="000000"/>
                <w:sz w:val="20"/>
                <w:szCs w:val="20"/>
              </w:rPr>
            </w:pPr>
            <w:r w:rsidRPr="009437CB">
              <w:rPr>
                <w:color w:val="000000"/>
                <w:sz w:val="20"/>
                <w:szCs w:val="20"/>
              </w:rPr>
              <w:t xml:space="preserve">$13.60 </w:t>
            </w:r>
          </w:p>
        </w:tc>
        <w:tc>
          <w:tcPr>
            <w:tcW w:w="2014" w:type="dxa"/>
            <w:tcBorders>
              <w:top w:val="nil"/>
              <w:left w:val="nil"/>
              <w:bottom w:val="nil"/>
              <w:right w:val="single" w:sz="8" w:space="0" w:color="000000"/>
            </w:tcBorders>
            <w:shd w:val="clear" w:color="auto" w:fill="auto"/>
            <w:noWrap/>
            <w:vAlign w:val="center"/>
            <w:hideMark/>
          </w:tcPr>
          <w:p w14:paraId="0B1AF900" w14:textId="77777777" w:rsidR="009437CB" w:rsidRPr="009437CB" w:rsidRDefault="009437CB" w:rsidP="009437CB">
            <w:pPr>
              <w:jc w:val="right"/>
              <w:rPr>
                <w:color w:val="000000"/>
                <w:sz w:val="20"/>
                <w:szCs w:val="20"/>
              </w:rPr>
            </w:pPr>
            <w:r w:rsidRPr="009437CB">
              <w:rPr>
                <w:color w:val="000000"/>
                <w:sz w:val="20"/>
                <w:szCs w:val="20"/>
              </w:rPr>
              <w:t xml:space="preserve">$0.20 </w:t>
            </w:r>
          </w:p>
        </w:tc>
      </w:tr>
      <w:tr w:rsidR="009437CB" w:rsidRPr="009437CB" w14:paraId="4577DD9C" w14:textId="77777777" w:rsidTr="008A1092">
        <w:trPr>
          <w:trHeight w:val="300"/>
          <w:jc w:val="center"/>
        </w:trPr>
        <w:tc>
          <w:tcPr>
            <w:tcW w:w="5000" w:type="dxa"/>
            <w:tcBorders>
              <w:top w:val="nil"/>
              <w:left w:val="single" w:sz="8" w:space="0" w:color="000000"/>
              <w:bottom w:val="nil"/>
              <w:right w:val="nil"/>
            </w:tcBorders>
            <w:shd w:val="clear" w:color="auto" w:fill="auto"/>
            <w:noWrap/>
            <w:vAlign w:val="center"/>
            <w:hideMark/>
          </w:tcPr>
          <w:p w14:paraId="38ACF4E0" w14:textId="77777777" w:rsidR="009437CB" w:rsidRPr="009437CB" w:rsidRDefault="009437CB" w:rsidP="009437CB">
            <w:pPr>
              <w:rPr>
                <w:color w:val="000000"/>
                <w:sz w:val="20"/>
                <w:szCs w:val="20"/>
              </w:rPr>
            </w:pPr>
            <w:r w:rsidRPr="009437CB">
              <w:rPr>
                <w:color w:val="000000"/>
                <w:sz w:val="20"/>
                <w:szCs w:val="20"/>
              </w:rPr>
              <w:t>3/4"</w:t>
            </w:r>
          </w:p>
        </w:tc>
        <w:tc>
          <w:tcPr>
            <w:tcW w:w="1620" w:type="dxa"/>
            <w:tcBorders>
              <w:top w:val="nil"/>
              <w:left w:val="nil"/>
              <w:bottom w:val="nil"/>
              <w:right w:val="nil"/>
            </w:tcBorders>
            <w:shd w:val="clear" w:color="auto" w:fill="auto"/>
            <w:noWrap/>
            <w:vAlign w:val="center"/>
            <w:hideMark/>
          </w:tcPr>
          <w:p w14:paraId="5E3B02A0" w14:textId="77777777" w:rsidR="009437CB" w:rsidRPr="009437CB" w:rsidRDefault="009437CB" w:rsidP="009437CB">
            <w:pPr>
              <w:jc w:val="right"/>
              <w:rPr>
                <w:color w:val="000000"/>
                <w:sz w:val="20"/>
                <w:szCs w:val="20"/>
              </w:rPr>
            </w:pPr>
            <w:r w:rsidRPr="009437CB">
              <w:rPr>
                <w:color w:val="000000"/>
                <w:sz w:val="20"/>
                <w:szCs w:val="20"/>
              </w:rPr>
              <w:t xml:space="preserve">$17.61 </w:t>
            </w:r>
          </w:p>
        </w:tc>
        <w:tc>
          <w:tcPr>
            <w:tcW w:w="1872" w:type="dxa"/>
            <w:tcBorders>
              <w:top w:val="nil"/>
              <w:left w:val="nil"/>
              <w:bottom w:val="nil"/>
              <w:right w:val="nil"/>
            </w:tcBorders>
            <w:shd w:val="clear" w:color="auto" w:fill="auto"/>
            <w:noWrap/>
            <w:vAlign w:val="center"/>
            <w:hideMark/>
          </w:tcPr>
          <w:p w14:paraId="18E09862" w14:textId="77777777" w:rsidR="009437CB" w:rsidRPr="009437CB" w:rsidRDefault="009437CB" w:rsidP="009437CB">
            <w:pPr>
              <w:jc w:val="right"/>
              <w:rPr>
                <w:color w:val="000000"/>
                <w:sz w:val="20"/>
                <w:szCs w:val="20"/>
              </w:rPr>
            </w:pPr>
            <w:r w:rsidRPr="009437CB">
              <w:rPr>
                <w:color w:val="000000"/>
                <w:sz w:val="20"/>
                <w:szCs w:val="20"/>
              </w:rPr>
              <w:t xml:space="preserve">$20.40 </w:t>
            </w:r>
          </w:p>
        </w:tc>
        <w:tc>
          <w:tcPr>
            <w:tcW w:w="2014" w:type="dxa"/>
            <w:tcBorders>
              <w:top w:val="nil"/>
              <w:left w:val="nil"/>
              <w:bottom w:val="nil"/>
              <w:right w:val="single" w:sz="8" w:space="0" w:color="000000"/>
            </w:tcBorders>
            <w:shd w:val="clear" w:color="auto" w:fill="auto"/>
            <w:noWrap/>
            <w:vAlign w:val="center"/>
            <w:hideMark/>
          </w:tcPr>
          <w:p w14:paraId="7B429C6C" w14:textId="77777777" w:rsidR="009437CB" w:rsidRPr="009437CB" w:rsidRDefault="009437CB" w:rsidP="009437CB">
            <w:pPr>
              <w:jc w:val="right"/>
              <w:rPr>
                <w:color w:val="000000"/>
                <w:sz w:val="20"/>
                <w:szCs w:val="20"/>
              </w:rPr>
            </w:pPr>
            <w:r w:rsidRPr="009437CB">
              <w:rPr>
                <w:color w:val="000000"/>
                <w:sz w:val="20"/>
                <w:szCs w:val="20"/>
              </w:rPr>
              <w:t xml:space="preserve">$0.30 </w:t>
            </w:r>
          </w:p>
        </w:tc>
      </w:tr>
      <w:tr w:rsidR="009437CB" w:rsidRPr="009437CB" w14:paraId="7C2DEFFA" w14:textId="77777777" w:rsidTr="008A1092">
        <w:trPr>
          <w:trHeight w:val="300"/>
          <w:jc w:val="center"/>
        </w:trPr>
        <w:tc>
          <w:tcPr>
            <w:tcW w:w="5000" w:type="dxa"/>
            <w:tcBorders>
              <w:top w:val="nil"/>
              <w:left w:val="single" w:sz="8" w:space="0" w:color="000000"/>
              <w:bottom w:val="nil"/>
              <w:right w:val="nil"/>
            </w:tcBorders>
            <w:shd w:val="clear" w:color="auto" w:fill="auto"/>
            <w:noWrap/>
            <w:vAlign w:val="center"/>
            <w:hideMark/>
          </w:tcPr>
          <w:p w14:paraId="227D859C" w14:textId="77777777" w:rsidR="009437CB" w:rsidRPr="009437CB" w:rsidRDefault="009437CB" w:rsidP="009437CB">
            <w:pPr>
              <w:rPr>
                <w:color w:val="000000"/>
                <w:sz w:val="20"/>
                <w:szCs w:val="20"/>
              </w:rPr>
            </w:pPr>
            <w:r w:rsidRPr="009437CB">
              <w:rPr>
                <w:color w:val="000000"/>
                <w:sz w:val="20"/>
                <w:szCs w:val="20"/>
              </w:rPr>
              <w:t>1"</w:t>
            </w:r>
          </w:p>
        </w:tc>
        <w:tc>
          <w:tcPr>
            <w:tcW w:w="1620" w:type="dxa"/>
            <w:tcBorders>
              <w:top w:val="nil"/>
              <w:left w:val="nil"/>
              <w:bottom w:val="nil"/>
              <w:right w:val="nil"/>
            </w:tcBorders>
            <w:shd w:val="clear" w:color="auto" w:fill="auto"/>
            <w:noWrap/>
            <w:vAlign w:val="center"/>
            <w:hideMark/>
          </w:tcPr>
          <w:p w14:paraId="447B86A4" w14:textId="77777777" w:rsidR="009437CB" w:rsidRPr="009437CB" w:rsidRDefault="009437CB" w:rsidP="009437CB">
            <w:pPr>
              <w:jc w:val="right"/>
              <w:rPr>
                <w:color w:val="000000"/>
                <w:sz w:val="20"/>
                <w:szCs w:val="20"/>
              </w:rPr>
            </w:pPr>
            <w:r w:rsidRPr="009437CB">
              <w:rPr>
                <w:color w:val="000000"/>
                <w:sz w:val="20"/>
                <w:szCs w:val="20"/>
              </w:rPr>
              <w:t xml:space="preserve">$29.35 </w:t>
            </w:r>
          </w:p>
        </w:tc>
        <w:tc>
          <w:tcPr>
            <w:tcW w:w="1872" w:type="dxa"/>
            <w:tcBorders>
              <w:top w:val="nil"/>
              <w:left w:val="nil"/>
              <w:bottom w:val="nil"/>
              <w:right w:val="nil"/>
            </w:tcBorders>
            <w:shd w:val="clear" w:color="auto" w:fill="auto"/>
            <w:noWrap/>
            <w:vAlign w:val="center"/>
            <w:hideMark/>
          </w:tcPr>
          <w:p w14:paraId="51E91AAB" w14:textId="77777777" w:rsidR="009437CB" w:rsidRPr="009437CB" w:rsidRDefault="009437CB" w:rsidP="009437CB">
            <w:pPr>
              <w:jc w:val="right"/>
              <w:rPr>
                <w:color w:val="000000"/>
                <w:sz w:val="20"/>
                <w:szCs w:val="20"/>
              </w:rPr>
            </w:pPr>
            <w:r w:rsidRPr="009437CB">
              <w:rPr>
                <w:color w:val="000000"/>
                <w:sz w:val="20"/>
                <w:szCs w:val="20"/>
              </w:rPr>
              <w:t xml:space="preserve">$34.00 </w:t>
            </w:r>
          </w:p>
        </w:tc>
        <w:tc>
          <w:tcPr>
            <w:tcW w:w="2014" w:type="dxa"/>
            <w:tcBorders>
              <w:top w:val="nil"/>
              <w:left w:val="nil"/>
              <w:bottom w:val="nil"/>
              <w:right w:val="single" w:sz="8" w:space="0" w:color="000000"/>
            </w:tcBorders>
            <w:shd w:val="clear" w:color="auto" w:fill="auto"/>
            <w:noWrap/>
            <w:vAlign w:val="center"/>
            <w:hideMark/>
          </w:tcPr>
          <w:p w14:paraId="76B0EAD5" w14:textId="77777777" w:rsidR="009437CB" w:rsidRPr="009437CB" w:rsidRDefault="009437CB" w:rsidP="009437CB">
            <w:pPr>
              <w:jc w:val="right"/>
              <w:rPr>
                <w:color w:val="000000"/>
                <w:sz w:val="20"/>
                <w:szCs w:val="20"/>
              </w:rPr>
            </w:pPr>
            <w:r w:rsidRPr="009437CB">
              <w:rPr>
                <w:color w:val="000000"/>
                <w:sz w:val="20"/>
                <w:szCs w:val="20"/>
              </w:rPr>
              <w:t xml:space="preserve">$0.50 </w:t>
            </w:r>
          </w:p>
        </w:tc>
      </w:tr>
      <w:tr w:rsidR="009437CB" w:rsidRPr="009437CB" w14:paraId="7555D885"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095C3ABE" w14:textId="77777777" w:rsidR="009437CB" w:rsidRPr="009437CB" w:rsidRDefault="009437CB" w:rsidP="009437CB">
            <w:pPr>
              <w:rPr>
                <w:color w:val="000000"/>
                <w:sz w:val="20"/>
                <w:szCs w:val="20"/>
              </w:rPr>
            </w:pPr>
            <w:r w:rsidRPr="009437CB">
              <w:rPr>
                <w:color w:val="000000"/>
                <w:sz w:val="20"/>
                <w:szCs w:val="20"/>
              </w:rPr>
              <w:t>1-1/2"</w:t>
            </w:r>
          </w:p>
        </w:tc>
        <w:tc>
          <w:tcPr>
            <w:tcW w:w="1620" w:type="dxa"/>
            <w:tcBorders>
              <w:top w:val="nil"/>
              <w:left w:val="nil"/>
              <w:bottom w:val="nil"/>
              <w:right w:val="nil"/>
            </w:tcBorders>
            <w:shd w:val="clear" w:color="auto" w:fill="auto"/>
            <w:noWrap/>
            <w:vAlign w:val="center"/>
            <w:hideMark/>
          </w:tcPr>
          <w:p w14:paraId="3246344F" w14:textId="77777777" w:rsidR="009437CB" w:rsidRPr="009437CB" w:rsidRDefault="009437CB" w:rsidP="009437CB">
            <w:pPr>
              <w:jc w:val="right"/>
              <w:rPr>
                <w:color w:val="000000"/>
                <w:sz w:val="20"/>
                <w:szCs w:val="20"/>
              </w:rPr>
            </w:pPr>
            <w:r w:rsidRPr="009437CB">
              <w:rPr>
                <w:color w:val="000000"/>
                <w:sz w:val="20"/>
                <w:szCs w:val="20"/>
              </w:rPr>
              <w:t xml:space="preserve">$58.70 </w:t>
            </w:r>
          </w:p>
        </w:tc>
        <w:tc>
          <w:tcPr>
            <w:tcW w:w="1872" w:type="dxa"/>
            <w:tcBorders>
              <w:top w:val="nil"/>
              <w:left w:val="nil"/>
              <w:bottom w:val="nil"/>
              <w:right w:val="nil"/>
            </w:tcBorders>
            <w:shd w:val="clear" w:color="auto" w:fill="auto"/>
            <w:noWrap/>
            <w:vAlign w:val="center"/>
            <w:hideMark/>
          </w:tcPr>
          <w:p w14:paraId="4A5197C3" w14:textId="77777777" w:rsidR="009437CB" w:rsidRPr="009437CB" w:rsidRDefault="009437CB" w:rsidP="009437CB">
            <w:pPr>
              <w:jc w:val="right"/>
              <w:rPr>
                <w:color w:val="000000"/>
                <w:sz w:val="20"/>
                <w:szCs w:val="20"/>
              </w:rPr>
            </w:pPr>
            <w:r w:rsidRPr="009437CB">
              <w:rPr>
                <w:color w:val="000000"/>
                <w:sz w:val="20"/>
                <w:szCs w:val="20"/>
              </w:rPr>
              <w:t xml:space="preserve">$68.00 </w:t>
            </w:r>
          </w:p>
        </w:tc>
        <w:tc>
          <w:tcPr>
            <w:tcW w:w="2014" w:type="dxa"/>
            <w:tcBorders>
              <w:top w:val="nil"/>
              <w:left w:val="nil"/>
              <w:bottom w:val="nil"/>
              <w:right w:val="single" w:sz="8" w:space="0" w:color="000000"/>
            </w:tcBorders>
            <w:shd w:val="clear" w:color="auto" w:fill="auto"/>
            <w:noWrap/>
            <w:vAlign w:val="center"/>
            <w:hideMark/>
          </w:tcPr>
          <w:p w14:paraId="3737DE3F" w14:textId="77777777" w:rsidR="009437CB" w:rsidRPr="009437CB" w:rsidRDefault="009437CB" w:rsidP="009437CB">
            <w:pPr>
              <w:jc w:val="right"/>
              <w:rPr>
                <w:color w:val="000000"/>
                <w:sz w:val="20"/>
                <w:szCs w:val="20"/>
              </w:rPr>
            </w:pPr>
            <w:r w:rsidRPr="009437CB">
              <w:rPr>
                <w:color w:val="000000"/>
                <w:sz w:val="20"/>
                <w:szCs w:val="20"/>
              </w:rPr>
              <w:t xml:space="preserve">$0.99 </w:t>
            </w:r>
          </w:p>
        </w:tc>
      </w:tr>
      <w:tr w:rsidR="009437CB" w:rsidRPr="009437CB" w14:paraId="0BACCF85"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79606B03" w14:textId="77777777" w:rsidR="009437CB" w:rsidRPr="009437CB" w:rsidRDefault="009437CB" w:rsidP="009437CB">
            <w:pPr>
              <w:rPr>
                <w:color w:val="000000"/>
                <w:sz w:val="20"/>
                <w:szCs w:val="20"/>
              </w:rPr>
            </w:pPr>
            <w:r w:rsidRPr="009437CB">
              <w:rPr>
                <w:color w:val="000000"/>
                <w:sz w:val="20"/>
                <w:szCs w:val="20"/>
              </w:rPr>
              <w:t>2"</w:t>
            </w:r>
          </w:p>
        </w:tc>
        <w:tc>
          <w:tcPr>
            <w:tcW w:w="1620" w:type="dxa"/>
            <w:tcBorders>
              <w:top w:val="nil"/>
              <w:left w:val="nil"/>
              <w:bottom w:val="nil"/>
              <w:right w:val="nil"/>
            </w:tcBorders>
            <w:shd w:val="clear" w:color="auto" w:fill="auto"/>
            <w:noWrap/>
            <w:vAlign w:val="center"/>
            <w:hideMark/>
          </w:tcPr>
          <w:p w14:paraId="02F6464F" w14:textId="77777777" w:rsidR="009437CB" w:rsidRPr="009437CB" w:rsidRDefault="009437CB" w:rsidP="009437CB">
            <w:pPr>
              <w:jc w:val="right"/>
              <w:rPr>
                <w:color w:val="000000"/>
                <w:sz w:val="20"/>
                <w:szCs w:val="20"/>
              </w:rPr>
            </w:pPr>
            <w:r w:rsidRPr="009437CB">
              <w:rPr>
                <w:color w:val="000000"/>
                <w:sz w:val="20"/>
                <w:szCs w:val="20"/>
              </w:rPr>
              <w:t xml:space="preserve">$93.92 </w:t>
            </w:r>
          </w:p>
        </w:tc>
        <w:tc>
          <w:tcPr>
            <w:tcW w:w="1872" w:type="dxa"/>
            <w:tcBorders>
              <w:top w:val="nil"/>
              <w:left w:val="nil"/>
              <w:bottom w:val="nil"/>
              <w:right w:val="nil"/>
            </w:tcBorders>
            <w:shd w:val="clear" w:color="auto" w:fill="auto"/>
            <w:noWrap/>
            <w:vAlign w:val="center"/>
            <w:hideMark/>
          </w:tcPr>
          <w:p w14:paraId="3CF3EDAF" w14:textId="77777777" w:rsidR="009437CB" w:rsidRPr="009437CB" w:rsidRDefault="009437CB" w:rsidP="009437CB">
            <w:pPr>
              <w:jc w:val="right"/>
              <w:rPr>
                <w:color w:val="000000"/>
                <w:sz w:val="20"/>
                <w:szCs w:val="20"/>
              </w:rPr>
            </w:pPr>
            <w:r w:rsidRPr="009437CB">
              <w:rPr>
                <w:color w:val="000000"/>
                <w:sz w:val="20"/>
                <w:szCs w:val="20"/>
              </w:rPr>
              <w:t xml:space="preserve">$108.80 </w:t>
            </w:r>
          </w:p>
        </w:tc>
        <w:tc>
          <w:tcPr>
            <w:tcW w:w="2014" w:type="dxa"/>
            <w:tcBorders>
              <w:top w:val="nil"/>
              <w:left w:val="nil"/>
              <w:bottom w:val="nil"/>
              <w:right w:val="single" w:sz="8" w:space="0" w:color="000000"/>
            </w:tcBorders>
            <w:shd w:val="clear" w:color="auto" w:fill="auto"/>
            <w:noWrap/>
            <w:vAlign w:val="center"/>
            <w:hideMark/>
          </w:tcPr>
          <w:p w14:paraId="74F23A20" w14:textId="77777777" w:rsidR="009437CB" w:rsidRPr="009437CB" w:rsidRDefault="009437CB" w:rsidP="009437CB">
            <w:pPr>
              <w:jc w:val="right"/>
              <w:rPr>
                <w:color w:val="000000"/>
                <w:sz w:val="20"/>
                <w:szCs w:val="20"/>
              </w:rPr>
            </w:pPr>
            <w:r w:rsidRPr="009437CB">
              <w:rPr>
                <w:color w:val="000000"/>
                <w:sz w:val="20"/>
                <w:szCs w:val="20"/>
              </w:rPr>
              <w:t xml:space="preserve">$1.59 </w:t>
            </w:r>
          </w:p>
        </w:tc>
      </w:tr>
      <w:tr w:rsidR="009437CB" w:rsidRPr="009437CB" w14:paraId="11A8CADF"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7FA1D863" w14:textId="77777777" w:rsidR="009437CB" w:rsidRPr="009437CB" w:rsidRDefault="009437CB" w:rsidP="009437CB">
            <w:pPr>
              <w:rPr>
                <w:color w:val="000000"/>
                <w:sz w:val="20"/>
                <w:szCs w:val="20"/>
              </w:rPr>
            </w:pPr>
            <w:r w:rsidRPr="009437CB">
              <w:rPr>
                <w:color w:val="000000"/>
                <w:sz w:val="20"/>
                <w:szCs w:val="20"/>
              </w:rPr>
              <w:t>3"</w:t>
            </w:r>
          </w:p>
        </w:tc>
        <w:tc>
          <w:tcPr>
            <w:tcW w:w="1620" w:type="dxa"/>
            <w:tcBorders>
              <w:top w:val="nil"/>
              <w:left w:val="nil"/>
              <w:bottom w:val="nil"/>
              <w:right w:val="nil"/>
            </w:tcBorders>
            <w:shd w:val="clear" w:color="auto" w:fill="auto"/>
            <w:noWrap/>
            <w:vAlign w:val="center"/>
            <w:hideMark/>
          </w:tcPr>
          <w:p w14:paraId="7EF73B35" w14:textId="77777777" w:rsidR="009437CB" w:rsidRPr="009437CB" w:rsidRDefault="009437CB" w:rsidP="009437CB">
            <w:pPr>
              <w:jc w:val="right"/>
              <w:rPr>
                <w:color w:val="000000"/>
                <w:sz w:val="20"/>
                <w:szCs w:val="20"/>
              </w:rPr>
            </w:pPr>
            <w:r w:rsidRPr="009437CB">
              <w:rPr>
                <w:color w:val="000000"/>
                <w:sz w:val="20"/>
                <w:szCs w:val="20"/>
              </w:rPr>
              <w:t xml:space="preserve">$187.84 </w:t>
            </w:r>
          </w:p>
        </w:tc>
        <w:tc>
          <w:tcPr>
            <w:tcW w:w="1872" w:type="dxa"/>
            <w:tcBorders>
              <w:top w:val="nil"/>
              <w:left w:val="nil"/>
              <w:bottom w:val="nil"/>
              <w:right w:val="nil"/>
            </w:tcBorders>
            <w:shd w:val="clear" w:color="auto" w:fill="auto"/>
            <w:noWrap/>
            <w:vAlign w:val="center"/>
            <w:hideMark/>
          </w:tcPr>
          <w:p w14:paraId="6DA75A29" w14:textId="77777777" w:rsidR="009437CB" w:rsidRPr="009437CB" w:rsidRDefault="009437CB" w:rsidP="009437CB">
            <w:pPr>
              <w:jc w:val="right"/>
              <w:rPr>
                <w:color w:val="000000"/>
                <w:sz w:val="20"/>
                <w:szCs w:val="20"/>
              </w:rPr>
            </w:pPr>
            <w:r w:rsidRPr="009437CB">
              <w:rPr>
                <w:color w:val="000000"/>
                <w:sz w:val="20"/>
                <w:szCs w:val="20"/>
              </w:rPr>
              <w:t xml:space="preserve">$217.60 </w:t>
            </w:r>
          </w:p>
        </w:tc>
        <w:tc>
          <w:tcPr>
            <w:tcW w:w="2014" w:type="dxa"/>
            <w:tcBorders>
              <w:top w:val="nil"/>
              <w:left w:val="nil"/>
              <w:bottom w:val="nil"/>
              <w:right w:val="single" w:sz="8" w:space="0" w:color="000000"/>
            </w:tcBorders>
            <w:shd w:val="clear" w:color="auto" w:fill="auto"/>
            <w:noWrap/>
            <w:vAlign w:val="center"/>
            <w:hideMark/>
          </w:tcPr>
          <w:p w14:paraId="483AC51D" w14:textId="77777777" w:rsidR="009437CB" w:rsidRPr="009437CB" w:rsidRDefault="009437CB" w:rsidP="009437CB">
            <w:pPr>
              <w:jc w:val="right"/>
              <w:rPr>
                <w:color w:val="000000"/>
                <w:sz w:val="20"/>
                <w:szCs w:val="20"/>
              </w:rPr>
            </w:pPr>
            <w:r w:rsidRPr="009437CB">
              <w:rPr>
                <w:color w:val="000000"/>
                <w:sz w:val="20"/>
                <w:szCs w:val="20"/>
              </w:rPr>
              <w:t xml:space="preserve">$3.17 </w:t>
            </w:r>
          </w:p>
        </w:tc>
      </w:tr>
      <w:tr w:rsidR="009437CB" w:rsidRPr="009437CB" w14:paraId="19457787"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137B7E9E" w14:textId="77777777" w:rsidR="009437CB" w:rsidRPr="009437CB" w:rsidRDefault="009437CB" w:rsidP="009437CB">
            <w:pPr>
              <w:rPr>
                <w:color w:val="000000"/>
                <w:sz w:val="20"/>
                <w:szCs w:val="20"/>
              </w:rPr>
            </w:pPr>
            <w:r w:rsidRPr="009437CB">
              <w:rPr>
                <w:color w:val="000000"/>
                <w:sz w:val="20"/>
                <w:szCs w:val="20"/>
              </w:rPr>
              <w:t>4"</w:t>
            </w:r>
          </w:p>
        </w:tc>
        <w:tc>
          <w:tcPr>
            <w:tcW w:w="1620" w:type="dxa"/>
            <w:tcBorders>
              <w:top w:val="nil"/>
              <w:left w:val="nil"/>
              <w:bottom w:val="nil"/>
              <w:right w:val="nil"/>
            </w:tcBorders>
            <w:shd w:val="clear" w:color="auto" w:fill="auto"/>
            <w:noWrap/>
            <w:vAlign w:val="center"/>
            <w:hideMark/>
          </w:tcPr>
          <w:p w14:paraId="03B53052" w14:textId="77777777" w:rsidR="009437CB" w:rsidRPr="009437CB" w:rsidRDefault="009437CB" w:rsidP="009437CB">
            <w:pPr>
              <w:jc w:val="right"/>
              <w:rPr>
                <w:color w:val="000000"/>
                <w:sz w:val="20"/>
                <w:szCs w:val="20"/>
              </w:rPr>
            </w:pPr>
            <w:r w:rsidRPr="009437CB">
              <w:rPr>
                <w:color w:val="000000"/>
                <w:sz w:val="20"/>
                <w:szCs w:val="20"/>
              </w:rPr>
              <w:t xml:space="preserve">$293.50 </w:t>
            </w:r>
          </w:p>
        </w:tc>
        <w:tc>
          <w:tcPr>
            <w:tcW w:w="1872" w:type="dxa"/>
            <w:tcBorders>
              <w:top w:val="nil"/>
              <w:left w:val="nil"/>
              <w:bottom w:val="nil"/>
              <w:right w:val="nil"/>
            </w:tcBorders>
            <w:shd w:val="clear" w:color="auto" w:fill="auto"/>
            <w:noWrap/>
            <w:vAlign w:val="center"/>
            <w:hideMark/>
          </w:tcPr>
          <w:p w14:paraId="590B60C0" w14:textId="77777777" w:rsidR="009437CB" w:rsidRPr="009437CB" w:rsidRDefault="009437CB" w:rsidP="009437CB">
            <w:pPr>
              <w:jc w:val="right"/>
              <w:rPr>
                <w:color w:val="000000"/>
                <w:sz w:val="20"/>
                <w:szCs w:val="20"/>
              </w:rPr>
            </w:pPr>
            <w:r w:rsidRPr="009437CB">
              <w:rPr>
                <w:color w:val="000000"/>
                <w:sz w:val="20"/>
                <w:szCs w:val="20"/>
              </w:rPr>
              <w:t xml:space="preserve">$340.00 </w:t>
            </w:r>
          </w:p>
        </w:tc>
        <w:tc>
          <w:tcPr>
            <w:tcW w:w="2014" w:type="dxa"/>
            <w:tcBorders>
              <w:top w:val="nil"/>
              <w:left w:val="nil"/>
              <w:bottom w:val="nil"/>
              <w:right w:val="single" w:sz="8" w:space="0" w:color="000000"/>
            </w:tcBorders>
            <w:shd w:val="clear" w:color="auto" w:fill="auto"/>
            <w:noWrap/>
            <w:vAlign w:val="center"/>
            <w:hideMark/>
          </w:tcPr>
          <w:p w14:paraId="248B90F9" w14:textId="77777777" w:rsidR="009437CB" w:rsidRPr="009437CB" w:rsidRDefault="009437CB" w:rsidP="009437CB">
            <w:pPr>
              <w:jc w:val="right"/>
              <w:rPr>
                <w:color w:val="000000"/>
                <w:sz w:val="20"/>
                <w:szCs w:val="20"/>
              </w:rPr>
            </w:pPr>
            <w:r w:rsidRPr="009437CB">
              <w:rPr>
                <w:color w:val="000000"/>
                <w:sz w:val="20"/>
                <w:szCs w:val="20"/>
              </w:rPr>
              <w:t xml:space="preserve">$4.95 </w:t>
            </w:r>
          </w:p>
        </w:tc>
      </w:tr>
      <w:tr w:rsidR="009437CB" w:rsidRPr="009437CB" w14:paraId="3D5E51FA"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19072C12" w14:textId="77777777" w:rsidR="009437CB" w:rsidRPr="009437CB" w:rsidRDefault="009437CB" w:rsidP="009437CB">
            <w:pPr>
              <w:rPr>
                <w:color w:val="000000"/>
                <w:sz w:val="20"/>
                <w:szCs w:val="20"/>
              </w:rPr>
            </w:pPr>
            <w:r w:rsidRPr="009437CB">
              <w:rPr>
                <w:color w:val="000000"/>
                <w:sz w:val="20"/>
                <w:szCs w:val="20"/>
              </w:rPr>
              <w:t>6"</w:t>
            </w:r>
          </w:p>
        </w:tc>
        <w:tc>
          <w:tcPr>
            <w:tcW w:w="1620" w:type="dxa"/>
            <w:tcBorders>
              <w:top w:val="nil"/>
              <w:left w:val="nil"/>
              <w:bottom w:val="nil"/>
              <w:right w:val="nil"/>
            </w:tcBorders>
            <w:shd w:val="clear" w:color="auto" w:fill="auto"/>
            <w:noWrap/>
            <w:vAlign w:val="center"/>
            <w:hideMark/>
          </w:tcPr>
          <w:p w14:paraId="43326097" w14:textId="77777777" w:rsidR="009437CB" w:rsidRPr="009437CB" w:rsidRDefault="009437CB" w:rsidP="009437CB">
            <w:pPr>
              <w:jc w:val="right"/>
              <w:rPr>
                <w:color w:val="000000"/>
                <w:sz w:val="20"/>
                <w:szCs w:val="20"/>
              </w:rPr>
            </w:pPr>
            <w:r w:rsidRPr="009437CB">
              <w:rPr>
                <w:color w:val="000000"/>
                <w:sz w:val="20"/>
                <w:szCs w:val="20"/>
              </w:rPr>
              <w:t xml:space="preserve">$587.00 </w:t>
            </w:r>
          </w:p>
        </w:tc>
        <w:tc>
          <w:tcPr>
            <w:tcW w:w="1872" w:type="dxa"/>
            <w:tcBorders>
              <w:top w:val="nil"/>
              <w:left w:val="nil"/>
              <w:bottom w:val="nil"/>
              <w:right w:val="nil"/>
            </w:tcBorders>
            <w:shd w:val="clear" w:color="auto" w:fill="auto"/>
            <w:noWrap/>
            <w:vAlign w:val="center"/>
            <w:hideMark/>
          </w:tcPr>
          <w:p w14:paraId="7EB06794" w14:textId="77777777" w:rsidR="009437CB" w:rsidRPr="009437CB" w:rsidRDefault="009437CB" w:rsidP="009437CB">
            <w:pPr>
              <w:jc w:val="right"/>
              <w:rPr>
                <w:color w:val="000000"/>
                <w:sz w:val="20"/>
                <w:szCs w:val="20"/>
              </w:rPr>
            </w:pPr>
            <w:r w:rsidRPr="009437CB">
              <w:rPr>
                <w:color w:val="000000"/>
                <w:sz w:val="20"/>
                <w:szCs w:val="20"/>
              </w:rPr>
              <w:t xml:space="preserve">$680.00 </w:t>
            </w:r>
          </w:p>
        </w:tc>
        <w:tc>
          <w:tcPr>
            <w:tcW w:w="2014" w:type="dxa"/>
            <w:tcBorders>
              <w:top w:val="nil"/>
              <w:left w:val="nil"/>
              <w:bottom w:val="nil"/>
              <w:right w:val="single" w:sz="8" w:space="0" w:color="000000"/>
            </w:tcBorders>
            <w:shd w:val="clear" w:color="auto" w:fill="auto"/>
            <w:noWrap/>
            <w:vAlign w:val="center"/>
            <w:hideMark/>
          </w:tcPr>
          <w:p w14:paraId="50829A17" w14:textId="77777777" w:rsidR="009437CB" w:rsidRPr="009437CB" w:rsidRDefault="009437CB" w:rsidP="009437CB">
            <w:pPr>
              <w:jc w:val="right"/>
              <w:rPr>
                <w:color w:val="000000"/>
                <w:sz w:val="20"/>
                <w:szCs w:val="20"/>
              </w:rPr>
            </w:pPr>
            <w:r w:rsidRPr="009437CB">
              <w:rPr>
                <w:color w:val="000000"/>
                <w:sz w:val="20"/>
                <w:szCs w:val="20"/>
              </w:rPr>
              <w:t xml:space="preserve">$9.91 </w:t>
            </w:r>
          </w:p>
        </w:tc>
      </w:tr>
      <w:tr w:rsidR="009437CB" w:rsidRPr="009437CB" w14:paraId="04B94099" w14:textId="77777777" w:rsidTr="008A1092">
        <w:trPr>
          <w:trHeight w:val="258"/>
          <w:jc w:val="center"/>
        </w:trPr>
        <w:tc>
          <w:tcPr>
            <w:tcW w:w="5000" w:type="dxa"/>
            <w:tcBorders>
              <w:top w:val="nil"/>
              <w:left w:val="single" w:sz="8" w:space="0" w:color="000000"/>
              <w:bottom w:val="nil"/>
              <w:right w:val="nil"/>
            </w:tcBorders>
            <w:shd w:val="clear" w:color="auto" w:fill="auto"/>
            <w:noWrap/>
            <w:vAlign w:val="bottom"/>
            <w:hideMark/>
          </w:tcPr>
          <w:p w14:paraId="667BB3B1"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auto" w:fill="auto"/>
            <w:noWrap/>
            <w:vAlign w:val="bottom"/>
            <w:hideMark/>
          </w:tcPr>
          <w:p w14:paraId="32A97F45"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2B84381C"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0A694CF0"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15FAECD7"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51EFE3E7" w14:textId="77777777" w:rsidR="009437CB" w:rsidRPr="009437CB" w:rsidRDefault="009437CB" w:rsidP="009437CB">
            <w:pPr>
              <w:rPr>
                <w:color w:val="000000"/>
                <w:sz w:val="20"/>
                <w:szCs w:val="20"/>
              </w:rPr>
            </w:pPr>
            <w:r w:rsidRPr="009437CB">
              <w:rPr>
                <w:color w:val="000000"/>
                <w:sz w:val="20"/>
                <w:szCs w:val="20"/>
              </w:rPr>
              <w:t>Charge per 1,000 gallons - Residential</w:t>
            </w:r>
          </w:p>
        </w:tc>
        <w:tc>
          <w:tcPr>
            <w:tcW w:w="1620" w:type="dxa"/>
            <w:tcBorders>
              <w:top w:val="nil"/>
              <w:left w:val="nil"/>
              <w:bottom w:val="nil"/>
              <w:right w:val="nil"/>
            </w:tcBorders>
            <w:shd w:val="clear" w:color="auto" w:fill="auto"/>
            <w:noWrap/>
            <w:vAlign w:val="bottom"/>
            <w:hideMark/>
          </w:tcPr>
          <w:p w14:paraId="7B070934" w14:textId="77777777" w:rsidR="009437CB" w:rsidRPr="009437CB" w:rsidRDefault="009437CB" w:rsidP="009437CB">
            <w:pPr>
              <w:rPr>
                <w:color w:val="000000"/>
                <w:sz w:val="20"/>
                <w:szCs w:val="20"/>
              </w:rPr>
            </w:pPr>
          </w:p>
        </w:tc>
        <w:tc>
          <w:tcPr>
            <w:tcW w:w="1872" w:type="dxa"/>
            <w:tcBorders>
              <w:top w:val="nil"/>
              <w:left w:val="nil"/>
              <w:bottom w:val="nil"/>
              <w:right w:val="nil"/>
            </w:tcBorders>
            <w:shd w:val="clear" w:color="auto" w:fill="auto"/>
            <w:noWrap/>
            <w:vAlign w:val="bottom"/>
            <w:hideMark/>
          </w:tcPr>
          <w:p w14:paraId="57F90C7F"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086140AD"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397A3B39"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565CAC3A" w14:textId="77777777" w:rsidR="009437CB" w:rsidRPr="009437CB" w:rsidRDefault="009437CB" w:rsidP="009437CB">
            <w:pPr>
              <w:rPr>
                <w:color w:val="000000"/>
                <w:sz w:val="20"/>
                <w:szCs w:val="20"/>
              </w:rPr>
            </w:pPr>
            <w:r w:rsidRPr="009437CB">
              <w:rPr>
                <w:color w:val="000000"/>
                <w:sz w:val="20"/>
                <w:szCs w:val="20"/>
              </w:rPr>
              <w:t>0 - 5,000 gallons</w:t>
            </w:r>
          </w:p>
        </w:tc>
        <w:tc>
          <w:tcPr>
            <w:tcW w:w="1620" w:type="dxa"/>
            <w:tcBorders>
              <w:top w:val="nil"/>
              <w:left w:val="nil"/>
              <w:bottom w:val="nil"/>
              <w:right w:val="nil"/>
            </w:tcBorders>
            <w:shd w:val="clear" w:color="auto" w:fill="auto"/>
            <w:noWrap/>
            <w:vAlign w:val="center"/>
            <w:hideMark/>
          </w:tcPr>
          <w:p w14:paraId="3C4808C8" w14:textId="77777777" w:rsidR="009437CB" w:rsidRPr="009437CB" w:rsidRDefault="009437CB" w:rsidP="009437CB">
            <w:pPr>
              <w:jc w:val="right"/>
              <w:rPr>
                <w:color w:val="000000"/>
                <w:sz w:val="20"/>
                <w:szCs w:val="20"/>
              </w:rPr>
            </w:pPr>
            <w:r w:rsidRPr="009437CB">
              <w:rPr>
                <w:color w:val="000000"/>
                <w:sz w:val="20"/>
                <w:szCs w:val="20"/>
              </w:rPr>
              <w:t xml:space="preserve">$1.22 </w:t>
            </w:r>
          </w:p>
        </w:tc>
        <w:tc>
          <w:tcPr>
            <w:tcW w:w="1872" w:type="dxa"/>
            <w:tcBorders>
              <w:top w:val="nil"/>
              <w:left w:val="nil"/>
              <w:bottom w:val="nil"/>
              <w:right w:val="nil"/>
            </w:tcBorders>
            <w:shd w:val="clear" w:color="auto" w:fill="auto"/>
            <w:noWrap/>
            <w:vAlign w:val="center"/>
            <w:hideMark/>
          </w:tcPr>
          <w:p w14:paraId="3285C716" w14:textId="77777777" w:rsidR="009437CB" w:rsidRPr="009437CB" w:rsidRDefault="009437CB" w:rsidP="009437CB">
            <w:pPr>
              <w:jc w:val="right"/>
              <w:rPr>
                <w:color w:val="000000"/>
                <w:sz w:val="20"/>
                <w:szCs w:val="20"/>
              </w:rPr>
            </w:pPr>
            <w:r w:rsidRPr="009437CB">
              <w:rPr>
                <w:color w:val="000000"/>
                <w:sz w:val="20"/>
                <w:szCs w:val="20"/>
              </w:rPr>
              <w:t>N/A</w:t>
            </w:r>
          </w:p>
        </w:tc>
        <w:tc>
          <w:tcPr>
            <w:tcW w:w="2014" w:type="dxa"/>
            <w:tcBorders>
              <w:top w:val="nil"/>
              <w:left w:val="nil"/>
              <w:bottom w:val="nil"/>
              <w:right w:val="single" w:sz="8" w:space="0" w:color="auto"/>
            </w:tcBorders>
            <w:shd w:val="clear" w:color="auto" w:fill="auto"/>
            <w:noWrap/>
            <w:vAlign w:val="center"/>
            <w:hideMark/>
          </w:tcPr>
          <w:p w14:paraId="51335615" w14:textId="77777777" w:rsidR="009437CB" w:rsidRPr="009437CB" w:rsidRDefault="009437CB" w:rsidP="009437CB">
            <w:pPr>
              <w:jc w:val="right"/>
              <w:rPr>
                <w:color w:val="000000"/>
                <w:sz w:val="20"/>
                <w:szCs w:val="20"/>
              </w:rPr>
            </w:pPr>
            <w:r w:rsidRPr="009437CB">
              <w:rPr>
                <w:color w:val="000000"/>
                <w:sz w:val="20"/>
                <w:szCs w:val="20"/>
              </w:rPr>
              <w:t>N/A</w:t>
            </w:r>
          </w:p>
        </w:tc>
      </w:tr>
      <w:tr w:rsidR="009437CB" w:rsidRPr="009437CB" w14:paraId="1C44E5A6"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213EBA26" w14:textId="77777777" w:rsidR="009437CB" w:rsidRPr="009437CB" w:rsidRDefault="009437CB" w:rsidP="009437CB">
            <w:pPr>
              <w:rPr>
                <w:color w:val="000000"/>
                <w:sz w:val="20"/>
                <w:szCs w:val="20"/>
              </w:rPr>
            </w:pPr>
            <w:r w:rsidRPr="009437CB">
              <w:rPr>
                <w:color w:val="000000"/>
                <w:sz w:val="20"/>
                <w:szCs w:val="20"/>
              </w:rPr>
              <w:t>Over 5,000 gallons</w:t>
            </w:r>
          </w:p>
        </w:tc>
        <w:tc>
          <w:tcPr>
            <w:tcW w:w="1620" w:type="dxa"/>
            <w:tcBorders>
              <w:top w:val="nil"/>
              <w:left w:val="nil"/>
              <w:bottom w:val="nil"/>
              <w:right w:val="nil"/>
            </w:tcBorders>
            <w:shd w:val="clear" w:color="auto" w:fill="auto"/>
            <w:noWrap/>
            <w:vAlign w:val="center"/>
            <w:hideMark/>
          </w:tcPr>
          <w:p w14:paraId="7E77FF5F" w14:textId="77777777" w:rsidR="009437CB" w:rsidRPr="009437CB" w:rsidRDefault="009437CB" w:rsidP="009437CB">
            <w:pPr>
              <w:jc w:val="right"/>
              <w:rPr>
                <w:color w:val="000000"/>
                <w:sz w:val="20"/>
                <w:szCs w:val="20"/>
              </w:rPr>
            </w:pPr>
            <w:r w:rsidRPr="009437CB">
              <w:rPr>
                <w:color w:val="000000"/>
                <w:sz w:val="20"/>
                <w:szCs w:val="20"/>
              </w:rPr>
              <w:t xml:space="preserve">$2.06 </w:t>
            </w:r>
          </w:p>
        </w:tc>
        <w:tc>
          <w:tcPr>
            <w:tcW w:w="1872" w:type="dxa"/>
            <w:tcBorders>
              <w:top w:val="nil"/>
              <w:left w:val="nil"/>
              <w:bottom w:val="nil"/>
              <w:right w:val="nil"/>
            </w:tcBorders>
            <w:shd w:val="clear" w:color="auto" w:fill="auto"/>
            <w:noWrap/>
            <w:vAlign w:val="center"/>
            <w:hideMark/>
          </w:tcPr>
          <w:p w14:paraId="5C8CC8DC" w14:textId="77777777" w:rsidR="009437CB" w:rsidRPr="009437CB" w:rsidRDefault="009437CB" w:rsidP="009437CB">
            <w:pPr>
              <w:jc w:val="right"/>
              <w:rPr>
                <w:color w:val="000000"/>
                <w:sz w:val="20"/>
                <w:szCs w:val="20"/>
              </w:rPr>
            </w:pPr>
            <w:r w:rsidRPr="009437CB">
              <w:rPr>
                <w:color w:val="000000"/>
                <w:sz w:val="20"/>
                <w:szCs w:val="20"/>
              </w:rPr>
              <w:t>N/A</w:t>
            </w:r>
          </w:p>
        </w:tc>
        <w:tc>
          <w:tcPr>
            <w:tcW w:w="2014" w:type="dxa"/>
            <w:tcBorders>
              <w:top w:val="nil"/>
              <w:left w:val="nil"/>
              <w:bottom w:val="nil"/>
              <w:right w:val="single" w:sz="8" w:space="0" w:color="auto"/>
            </w:tcBorders>
            <w:shd w:val="clear" w:color="auto" w:fill="auto"/>
            <w:noWrap/>
            <w:vAlign w:val="center"/>
            <w:hideMark/>
          </w:tcPr>
          <w:p w14:paraId="200288C0" w14:textId="77777777" w:rsidR="009437CB" w:rsidRPr="009437CB" w:rsidRDefault="009437CB" w:rsidP="009437CB">
            <w:pPr>
              <w:jc w:val="right"/>
              <w:rPr>
                <w:color w:val="000000"/>
                <w:sz w:val="20"/>
                <w:szCs w:val="20"/>
              </w:rPr>
            </w:pPr>
            <w:r w:rsidRPr="009437CB">
              <w:rPr>
                <w:color w:val="000000"/>
                <w:sz w:val="20"/>
                <w:szCs w:val="20"/>
              </w:rPr>
              <w:t>N/A</w:t>
            </w:r>
          </w:p>
        </w:tc>
      </w:tr>
      <w:tr w:rsidR="009437CB" w:rsidRPr="009437CB" w14:paraId="1D875B0E"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1A2AD81D" w14:textId="77777777" w:rsidR="009437CB" w:rsidRPr="009437CB" w:rsidRDefault="009437CB" w:rsidP="009437CB">
            <w:pPr>
              <w:rPr>
                <w:color w:val="000000"/>
                <w:sz w:val="20"/>
                <w:szCs w:val="20"/>
              </w:rPr>
            </w:pPr>
            <w:r w:rsidRPr="009437CB">
              <w:rPr>
                <w:color w:val="000000"/>
                <w:sz w:val="20"/>
                <w:szCs w:val="20"/>
              </w:rPr>
              <w:t> </w:t>
            </w:r>
          </w:p>
        </w:tc>
        <w:tc>
          <w:tcPr>
            <w:tcW w:w="1620" w:type="dxa"/>
            <w:tcBorders>
              <w:top w:val="nil"/>
              <w:left w:val="nil"/>
              <w:bottom w:val="nil"/>
              <w:right w:val="nil"/>
            </w:tcBorders>
            <w:shd w:val="clear" w:color="auto" w:fill="auto"/>
            <w:noWrap/>
            <w:vAlign w:val="center"/>
            <w:hideMark/>
          </w:tcPr>
          <w:p w14:paraId="78B19CF5" w14:textId="77777777" w:rsidR="009437CB" w:rsidRPr="009437CB" w:rsidRDefault="009437CB" w:rsidP="009437CB">
            <w:pPr>
              <w:rPr>
                <w:color w:val="000000"/>
                <w:sz w:val="20"/>
                <w:szCs w:val="20"/>
              </w:rPr>
            </w:pPr>
          </w:p>
        </w:tc>
        <w:tc>
          <w:tcPr>
            <w:tcW w:w="1872" w:type="dxa"/>
            <w:tcBorders>
              <w:top w:val="nil"/>
              <w:left w:val="nil"/>
              <w:bottom w:val="nil"/>
              <w:right w:val="nil"/>
            </w:tcBorders>
            <w:shd w:val="clear" w:color="auto" w:fill="auto"/>
            <w:noWrap/>
            <w:vAlign w:val="center"/>
            <w:hideMark/>
          </w:tcPr>
          <w:p w14:paraId="50DF6DB2" w14:textId="77777777" w:rsidR="009437CB" w:rsidRPr="009437CB" w:rsidRDefault="009437CB" w:rsidP="009437CB">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268027E6"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0B07FD25"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6CBCD9E9" w14:textId="77777777" w:rsidR="009437CB" w:rsidRPr="009437CB" w:rsidRDefault="009437CB" w:rsidP="009437CB">
            <w:pPr>
              <w:rPr>
                <w:color w:val="000000"/>
                <w:sz w:val="20"/>
                <w:szCs w:val="20"/>
              </w:rPr>
            </w:pPr>
            <w:r w:rsidRPr="009437CB">
              <w:rPr>
                <w:color w:val="000000"/>
                <w:sz w:val="20"/>
                <w:szCs w:val="20"/>
              </w:rPr>
              <w:t>Charge per 1,000 gallons - Residential</w:t>
            </w:r>
          </w:p>
        </w:tc>
        <w:tc>
          <w:tcPr>
            <w:tcW w:w="1620" w:type="dxa"/>
            <w:tcBorders>
              <w:top w:val="nil"/>
              <w:left w:val="nil"/>
              <w:bottom w:val="nil"/>
              <w:right w:val="nil"/>
            </w:tcBorders>
            <w:shd w:val="clear" w:color="auto" w:fill="auto"/>
            <w:noWrap/>
            <w:vAlign w:val="bottom"/>
            <w:hideMark/>
          </w:tcPr>
          <w:p w14:paraId="2400B7D5" w14:textId="77777777" w:rsidR="009437CB" w:rsidRPr="009437CB" w:rsidRDefault="009437CB" w:rsidP="009437CB">
            <w:pPr>
              <w:rPr>
                <w:color w:val="000000"/>
                <w:sz w:val="20"/>
                <w:szCs w:val="20"/>
              </w:rPr>
            </w:pPr>
          </w:p>
        </w:tc>
        <w:tc>
          <w:tcPr>
            <w:tcW w:w="1872" w:type="dxa"/>
            <w:tcBorders>
              <w:top w:val="nil"/>
              <w:left w:val="nil"/>
              <w:bottom w:val="nil"/>
              <w:right w:val="nil"/>
            </w:tcBorders>
            <w:shd w:val="clear" w:color="auto" w:fill="auto"/>
            <w:noWrap/>
            <w:vAlign w:val="bottom"/>
            <w:hideMark/>
          </w:tcPr>
          <w:p w14:paraId="4A992757"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708720F3"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05A32EC6"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4C873973" w14:textId="77777777" w:rsidR="009437CB" w:rsidRPr="009437CB" w:rsidRDefault="009437CB" w:rsidP="009437CB">
            <w:pPr>
              <w:rPr>
                <w:color w:val="000000"/>
                <w:sz w:val="20"/>
                <w:szCs w:val="20"/>
              </w:rPr>
            </w:pPr>
            <w:r w:rsidRPr="009437CB">
              <w:rPr>
                <w:color w:val="000000"/>
                <w:sz w:val="20"/>
                <w:szCs w:val="20"/>
              </w:rPr>
              <w:t>0 - 4,000 gallons</w:t>
            </w:r>
          </w:p>
        </w:tc>
        <w:tc>
          <w:tcPr>
            <w:tcW w:w="1620" w:type="dxa"/>
            <w:tcBorders>
              <w:top w:val="nil"/>
              <w:left w:val="nil"/>
              <w:bottom w:val="nil"/>
              <w:right w:val="nil"/>
            </w:tcBorders>
            <w:shd w:val="clear" w:color="auto" w:fill="auto"/>
            <w:noWrap/>
            <w:vAlign w:val="center"/>
            <w:hideMark/>
          </w:tcPr>
          <w:p w14:paraId="7AB3D5C7" w14:textId="77777777" w:rsidR="009437CB" w:rsidRPr="009437CB" w:rsidRDefault="009437CB" w:rsidP="009437CB">
            <w:pPr>
              <w:jc w:val="right"/>
              <w:rPr>
                <w:color w:val="000000"/>
                <w:sz w:val="20"/>
                <w:szCs w:val="20"/>
              </w:rPr>
            </w:pPr>
            <w:r w:rsidRPr="009437CB">
              <w:rPr>
                <w:color w:val="000000"/>
                <w:sz w:val="20"/>
                <w:szCs w:val="20"/>
              </w:rPr>
              <w:t>N/A</w:t>
            </w:r>
          </w:p>
        </w:tc>
        <w:tc>
          <w:tcPr>
            <w:tcW w:w="1872" w:type="dxa"/>
            <w:tcBorders>
              <w:top w:val="nil"/>
              <w:left w:val="nil"/>
              <w:bottom w:val="nil"/>
              <w:right w:val="nil"/>
            </w:tcBorders>
            <w:shd w:val="clear" w:color="auto" w:fill="auto"/>
            <w:noWrap/>
            <w:vAlign w:val="center"/>
            <w:hideMark/>
          </w:tcPr>
          <w:p w14:paraId="601D2DCD" w14:textId="77777777" w:rsidR="009437CB" w:rsidRPr="009437CB" w:rsidRDefault="009437CB" w:rsidP="009437CB">
            <w:pPr>
              <w:jc w:val="right"/>
              <w:rPr>
                <w:color w:val="000000"/>
                <w:sz w:val="20"/>
                <w:szCs w:val="20"/>
              </w:rPr>
            </w:pPr>
            <w:r w:rsidRPr="009437CB">
              <w:rPr>
                <w:color w:val="000000"/>
                <w:sz w:val="20"/>
                <w:szCs w:val="20"/>
              </w:rPr>
              <w:t xml:space="preserve">$4.07 </w:t>
            </w:r>
          </w:p>
        </w:tc>
        <w:tc>
          <w:tcPr>
            <w:tcW w:w="2014" w:type="dxa"/>
            <w:tcBorders>
              <w:top w:val="nil"/>
              <w:left w:val="nil"/>
              <w:bottom w:val="nil"/>
              <w:right w:val="single" w:sz="8" w:space="0" w:color="000000"/>
            </w:tcBorders>
            <w:shd w:val="clear" w:color="auto" w:fill="auto"/>
            <w:noWrap/>
            <w:vAlign w:val="center"/>
            <w:hideMark/>
          </w:tcPr>
          <w:p w14:paraId="5A72EAB6" w14:textId="77777777" w:rsidR="009437CB" w:rsidRPr="009437CB" w:rsidRDefault="009437CB" w:rsidP="009437CB">
            <w:pPr>
              <w:jc w:val="right"/>
              <w:rPr>
                <w:color w:val="000000"/>
                <w:sz w:val="20"/>
                <w:szCs w:val="20"/>
              </w:rPr>
            </w:pPr>
            <w:r w:rsidRPr="009437CB">
              <w:rPr>
                <w:color w:val="000000"/>
                <w:sz w:val="20"/>
                <w:szCs w:val="20"/>
              </w:rPr>
              <w:t xml:space="preserve">$0.06 </w:t>
            </w:r>
          </w:p>
        </w:tc>
      </w:tr>
      <w:tr w:rsidR="009437CB" w:rsidRPr="009437CB" w14:paraId="0829E1B2"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60460F8F" w14:textId="77777777" w:rsidR="009437CB" w:rsidRPr="009437CB" w:rsidRDefault="009437CB" w:rsidP="009437CB">
            <w:pPr>
              <w:rPr>
                <w:color w:val="000000"/>
                <w:sz w:val="20"/>
                <w:szCs w:val="20"/>
              </w:rPr>
            </w:pPr>
            <w:r w:rsidRPr="009437CB">
              <w:rPr>
                <w:color w:val="000000"/>
                <w:sz w:val="20"/>
                <w:szCs w:val="20"/>
              </w:rPr>
              <w:t>Over 4,000 gallons</w:t>
            </w:r>
          </w:p>
        </w:tc>
        <w:tc>
          <w:tcPr>
            <w:tcW w:w="1620" w:type="dxa"/>
            <w:tcBorders>
              <w:top w:val="nil"/>
              <w:left w:val="nil"/>
              <w:bottom w:val="nil"/>
              <w:right w:val="nil"/>
            </w:tcBorders>
            <w:shd w:val="clear" w:color="auto" w:fill="auto"/>
            <w:noWrap/>
            <w:vAlign w:val="center"/>
            <w:hideMark/>
          </w:tcPr>
          <w:p w14:paraId="7ACFD28A" w14:textId="77777777" w:rsidR="009437CB" w:rsidRPr="009437CB" w:rsidRDefault="009437CB" w:rsidP="009437CB">
            <w:pPr>
              <w:jc w:val="right"/>
              <w:rPr>
                <w:color w:val="000000"/>
                <w:sz w:val="20"/>
                <w:szCs w:val="20"/>
              </w:rPr>
            </w:pPr>
            <w:r w:rsidRPr="009437CB">
              <w:rPr>
                <w:color w:val="000000"/>
                <w:sz w:val="20"/>
                <w:szCs w:val="20"/>
              </w:rPr>
              <w:t>N/A</w:t>
            </w:r>
          </w:p>
        </w:tc>
        <w:tc>
          <w:tcPr>
            <w:tcW w:w="1872" w:type="dxa"/>
            <w:tcBorders>
              <w:top w:val="nil"/>
              <w:left w:val="nil"/>
              <w:bottom w:val="nil"/>
              <w:right w:val="nil"/>
            </w:tcBorders>
            <w:shd w:val="clear" w:color="auto" w:fill="auto"/>
            <w:noWrap/>
            <w:vAlign w:val="center"/>
            <w:hideMark/>
          </w:tcPr>
          <w:p w14:paraId="11CCE010" w14:textId="77777777" w:rsidR="009437CB" w:rsidRPr="009437CB" w:rsidRDefault="009437CB" w:rsidP="009437CB">
            <w:pPr>
              <w:jc w:val="right"/>
              <w:rPr>
                <w:color w:val="000000"/>
                <w:sz w:val="20"/>
                <w:szCs w:val="20"/>
              </w:rPr>
            </w:pPr>
            <w:r w:rsidRPr="009437CB">
              <w:rPr>
                <w:color w:val="000000"/>
                <w:sz w:val="20"/>
                <w:szCs w:val="20"/>
              </w:rPr>
              <w:t xml:space="preserve">$6.11 </w:t>
            </w:r>
          </w:p>
        </w:tc>
        <w:tc>
          <w:tcPr>
            <w:tcW w:w="2014" w:type="dxa"/>
            <w:tcBorders>
              <w:top w:val="nil"/>
              <w:left w:val="nil"/>
              <w:bottom w:val="nil"/>
              <w:right w:val="single" w:sz="8" w:space="0" w:color="000000"/>
            </w:tcBorders>
            <w:shd w:val="clear" w:color="auto" w:fill="auto"/>
            <w:noWrap/>
            <w:vAlign w:val="center"/>
            <w:hideMark/>
          </w:tcPr>
          <w:p w14:paraId="7BBC76E3" w14:textId="77777777" w:rsidR="009437CB" w:rsidRPr="009437CB" w:rsidRDefault="009437CB" w:rsidP="009437CB">
            <w:pPr>
              <w:jc w:val="right"/>
              <w:rPr>
                <w:color w:val="000000"/>
                <w:sz w:val="20"/>
                <w:szCs w:val="20"/>
              </w:rPr>
            </w:pPr>
            <w:r w:rsidRPr="009437CB">
              <w:rPr>
                <w:color w:val="000000"/>
                <w:sz w:val="20"/>
                <w:szCs w:val="20"/>
              </w:rPr>
              <w:t xml:space="preserve">$0.09 </w:t>
            </w:r>
          </w:p>
        </w:tc>
      </w:tr>
      <w:tr w:rsidR="009437CB" w:rsidRPr="009437CB" w14:paraId="09E2AA45"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49C42DA0" w14:textId="77777777" w:rsidR="009437CB" w:rsidRPr="009437CB" w:rsidRDefault="009437CB" w:rsidP="009437CB">
            <w:pPr>
              <w:rPr>
                <w:color w:val="000000"/>
                <w:sz w:val="20"/>
                <w:szCs w:val="20"/>
              </w:rPr>
            </w:pPr>
            <w:r w:rsidRPr="009437CB">
              <w:rPr>
                <w:color w:val="000000"/>
                <w:sz w:val="20"/>
                <w:szCs w:val="20"/>
              </w:rPr>
              <w:t> </w:t>
            </w:r>
          </w:p>
        </w:tc>
        <w:tc>
          <w:tcPr>
            <w:tcW w:w="1620" w:type="dxa"/>
            <w:tcBorders>
              <w:top w:val="nil"/>
              <w:left w:val="nil"/>
              <w:bottom w:val="nil"/>
              <w:right w:val="nil"/>
            </w:tcBorders>
            <w:shd w:val="clear" w:color="auto" w:fill="auto"/>
            <w:noWrap/>
            <w:vAlign w:val="center"/>
            <w:hideMark/>
          </w:tcPr>
          <w:p w14:paraId="0617234D" w14:textId="77777777" w:rsidR="009437CB" w:rsidRPr="009437CB" w:rsidRDefault="009437CB" w:rsidP="009437CB">
            <w:pPr>
              <w:rPr>
                <w:color w:val="000000"/>
                <w:sz w:val="20"/>
                <w:szCs w:val="20"/>
              </w:rPr>
            </w:pPr>
          </w:p>
        </w:tc>
        <w:tc>
          <w:tcPr>
            <w:tcW w:w="1872" w:type="dxa"/>
            <w:tcBorders>
              <w:top w:val="nil"/>
              <w:left w:val="nil"/>
              <w:bottom w:val="nil"/>
              <w:right w:val="nil"/>
            </w:tcBorders>
            <w:shd w:val="clear" w:color="auto" w:fill="auto"/>
            <w:noWrap/>
            <w:vAlign w:val="center"/>
            <w:hideMark/>
          </w:tcPr>
          <w:p w14:paraId="40B20216" w14:textId="77777777" w:rsidR="009437CB" w:rsidRPr="009437CB" w:rsidRDefault="009437CB" w:rsidP="009437CB">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0806D9EA"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149DA7D9"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57AADEC0" w14:textId="77777777" w:rsidR="009437CB" w:rsidRPr="009437CB" w:rsidRDefault="009437CB" w:rsidP="009437CB">
            <w:pPr>
              <w:rPr>
                <w:color w:val="000000"/>
                <w:sz w:val="20"/>
                <w:szCs w:val="20"/>
              </w:rPr>
            </w:pPr>
            <w:r w:rsidRPr="009437CB">
              <w:rPr>
                <w:color w:val="000000"/>
                <w:sz w:val="20"/>
                <w:szCs w:val="20"/>
              </w:rPr>
              <w:t>Charge per 1,000 gallons - General Service</w:t>
            </w:r>
          </w:p>
        </w:tc>
        <w:tc>
          <w:tcPr>
            <w:tcW w:w="1620" w:type="dxa"/>
            <w:tcBorders>
              <w:top w:val="nil"/>
              <w:left w:val="nil"/>
              <w:bottom w:val="nil"/>
              <w:right w:val="nil"/>
            </w:tcBorders>
            <w:shd w:val="clear" w:color="auto" w:fill="auto"/>
            <w:noWrap/>
            <w:vAlign w:val="center"/>
            <w:hideMark/>
          </w:tcPr>
          <w:p w14:paraId="513042BE" w14:textId="77777777" w:rsidR="009437CB" w:rsidRPr="009437CB" w:rsidRDefault="009437CB" w:rsidP="009437CB">
            <w:pPr>
              <w:jc w:val="right"/>
              <w:rPr>
                <w:color w:val="000000"/>
                <w:sz w:val="20"/>
                <w:szCs w:val="20"/>
              </w:rPr>
            </w:pPr>
            <w:r w:rsidRPr="009437CB">
              <w:rPr>
                <w:color w:val="000000"/>
                <w:sz w:val="20"/>
                <w:szCs w:val="20"/>
              </w:rPr>
              <w:t xml:space="preserve">$1.72 </w:t>
            </w:r>
          </w:p>
        </w:tc>
        <w:tc>
          <w:tcPr>
            <w:tcW w:w="1872" w:type="dxa"/>
            <w:tcBorders>
              <w:top w:val="nil"/>
              <w:left w:val="nil"/>
              <w:bottom w:val="nil"/>
              <w:right w:val="nil"/>
            </w:tcBorders>
            <w:shd w:val="clear" w:color="auto" w:fill="auto"/>
            <w:noWrap/>
            <w:vAlign w:val="center"/>
            <w:hideMark/>
          </w:tcPr>
          <w:p w14:paraId="437D4871" w14:textId="77777777" w:rsidR="009437CB" w:rsidRPr="009437CB" w:rsidRDefault="009437CB" w:rsidP="009437CB">
            <w:pPr>
              <w:jc w:val="right"/>
              <w:rPr>
                <w:color w:val="000000"/>
                <w:sz w:val="20"/>
                <w:szCs w:val="20"/>
              </w:rPr>
            </w:pPr>
            <w:r w:rsidRPr="009437CB">
              <w:rPr>
                <w:color w:val="000000"/>
                <w:sz w:val="20"/>
                <w:szCs w:val="20"/>
              </w:rPr>
              <w:t xml:space="preserve">$4.79 </w:t>
            </w:r>
          </w:p>
        </w:tc>
        <w:tc>
          <w:tcPr>
            <w:tcW w:w="2014" w:type="dxa"/>
            <w:tcBorders>
              <w:top w:val="nil"/>
              <w:left w:val="nil"/>
              <w:bottom w:val="nil"/>
              <w:right w:val="single" w:sz="8" w:space="0" w:color="000000"/>
            </w:tcBorders>
            <w:shd w:val="clear" w:color="auto" w:fill="auto"/>
            <w:noWrap/>
            <w:vAlign w:val="center"/>
            <w:hideMark/>
          </w:tcPr>
          <w:p w14:paraId="3850F397" w14:textId="77777777" w:rsidR="009437CB" w:rsidRPr="009437CB" w:rsidRDefault="009437CB" w:rsidP="009437CB">
            <w:pPr>
              <w:jc w:val="right"/>
              <w:rPr>
                <w:color w:val="000000"/>
                <w:sz w:val="20"/>
                <w:szCs w:val="20"/>
              </w:rPr>
            </w:pPr>
            <w:r w:rsidRPr="009437CB">
              <w:rPr>
                <w:color w:val="000000"/>
                <w:sz w:val="20"/>
                <w:szCs w:val="20"/>
              </w:rPr>
              <w:t xml:space="preserve">$0.07 </w:t>
            </w:r>
          </w:p>
        </w:tc>
      </w:tr>
      <w:tr w:rsidR="009437CB" w:rsidRPr="009437CB" w14:paraId="14D2D413" w14:textId="77777777" w:rsidTr="008A1092">
        <w:trPr>
          <w:trHeight w:val="258"/>
          <w:jc w:val="center"/>
        </w:trPr>
        <w:tc>
          <w:tcPr>
            <w:tcW w:w="5000" w:type="dxa"/>
            <w:tcBorders>
              <w:top w:val="nil"/>
              <w:left w:val="single" w:sz="8" w:space="0" w:color="000000"/>
              <w:bottom w:val="nil"/>
              <w:right w:val="nil"/>
            </w:tcBorders>
            <w:shd w:val="clear" w:color="auto" w:fill="auto"/>
            <w:noWrap/>
            <w:vAlign w:val="bottom"/>
            <w:hideMark/>
          </w:tcPr>
          <w:p w14:paraId="7F3CE7F3"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auto" w:fill="auto"/>
            <w:noWrap/>
            <w:vAlign w:val="bottom"/>
            <w:hideMark/>
          </w:tcPr>
          <w:p w14:paraId="5E9B575A"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0872FE20"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3E8BD0B7"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69FA097C" w14:textId="77777777" w:rsidTr="008A1092">
        <w:trPr>
          <w:trHeight w:val="258"/>
          <w:jc w:val="center"/>
        </w:trPr>
        <w:tc>
          <w:tcPr>
            <w:tcW w:w="5000" w:type="dxa"/>
            <w:tcBorders>
              <w:top w:val="nil"/>
              <w:left w:val="single" w:sz="8" w:space="0" w:color="000000"/>
              <w:bottom w:val="nil"/>
              <w:right w:val="nil"/>
            </w:tcBorders>
            <w:shd w:val="clear" w:color="auto" w:fill="auto"/>
            <w:noWrap/>
            <w:vAlign w:val="bottom"/>
            <w:hideMark/>
          </w:tcPr>
          <w:p w14:paraId="771E9D56"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auto" w:fill="auto"/>
            <w:noWrap/>
            <w:vAlign w:val="bottom"/>
            <w:hideMark/>
          </w:tcPr>
          <w:p w14:paraId="6C86F489"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10601532"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5119E885"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155D075E"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384ACBB7" w14:textId="77777777" w:rsidR="009437CB" w:rsidRPr="009437CB" w:rsidRDefault="009437CB" w:rsidP="009437CB">
            <w:pPr>
              <w:rPr>
                <w:b/>
                <w:bCs/>
                <w:color w:val="000000"/>
                <w:sz w:val="20"/>
                <w:szCs w:val="20"/>
                <w:u w:val="single"/>
              </w:rPr>
            </w:pPr>
            <w:r w:rsidRPr="009437CB">
              <w:rPr>
                <w:b/>
                <w:bCs/>
                <w:color w:val="000000"/>
                <w:sz w:val="20"/>
                <w:szCs w:val="20"/>
                <w:u w:val="single"/>
              </w:rPr>
              <w:t>Typical Residential 5/8" x 3/4" Meter Bill Comparison</w:t>
            </w:r>
          </w:p>
        </w:tc>
        <w:tc>
          <w:tcPr>
            <w:tcW w:w="1620" w:type="dxa"/>
            <w:tcBorders>
              <w:top w:val="nil"/>
              <w:left w:val="nil"/>
              <w:bottom w:val="nil"/>
              <w:right w:val="nil"/>
            </w:tcBorders>
            <w:shd w:val="clear" w:color="auto" w:fill="auto"/>
            <w:noWrap/>
            <w:vAlign w:val="bottom"/>
            <w:hideMark/>
          </w:tcPr>
          <w:p w14:paraId="2875F403" w14:textId="77777777" w:rsidR="009437CB" w:rsidRPr="009437CB" w:rsidRDefault="009437CB" w:rsidP="009437CB">
            <w:pPr>
              <w:rPr>
                <w:b/>
                <w:bCs/>
                <w:color w:val="000000"/>
                <w:sz w:val="20"/>
                <w:szCs w:val="20"/>
                <w:u w:val="single"/>
              </w:rPr>
            </w:pPr>
          </w:p>
        </w:tc>
        <w:tc>
          <w:tcPr>
            <w:tcW w:w="1872" w:type="dxa"/>
            <w:tcBorders>
              <w:top w:val="nil"/>
              <w:left w:val="nil"/>
              <w:bottom w:val="nil"/>
              <w:right w:val="nil"/>
            </w:tcBorders>
            <w:shd w:val="clear" w:color="auto" w:fill="auto"/>
            <w:noWrap/>
            <w:vAlign w:val="bottom"/>
            <w:hideMark/>
          </w:tcPr>
          <w:p w14:paraId="501EEA56"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4D10B783"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406FF1B2"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2CF04E68" w14:textId="77777777" w:rsidR="009437CB" w:rsidRPr="009437CB" w:rsidRDefault="009437CB" w:rsidP="009437CB">
            <w:pPr>
              <w:rPr>
                <w:color w:val="000000"/>
                <w:sz w:val="20"/>
                <w:szCs w:val="20"/>
              </w:rPr>
            </w:pPr>
            <w:r w:rsidRPr="009437CB">
              <w:rPr>
                <w:color w:val="000000"/>
                <w:sz w:val="20"/>
                <w:szCs w:val="20"/>
              </w:rPr>
              <w:t>2,000 Gallons</w:t>
            </w:r>
          </w:p>
        </w:tc>
        <w:tc>
          <w:tcPr>
            <w:tcW w:w="1620" w:type="dxa"/>
            <w:tcBorders>
              <w:top w:val="nil"/>
              <w:left w:val="nil"/>
              <w:bottom w:val="nil"/>
              <w:right w:val="nil"/>
            </w:tcBorders>
            <w:shd w:val="clear" w:color="auto" w:fill="auto"/>
            <w:noWrap/>
            <w:vAlign w:val="center"/>
            <w:hideMark/>
          </w:tcPr>
          <w:p w14:paraId="19FCBA89" w14:textId="77777777" w:rsidR="009437CB" w:rsidRPr="009437CB" w:rsidRDefault="009437CB" w:rsidP="009437CB">
            <w:pPr>
              <w:jc w:val="right"/>
              <w:rPr>
                <w:color w:val="000000"/>
                <w:sz w:val="20"/>
                <w:szCs w:val="20"/>
              </w:rPr>
            </w:pPr>
            <w:r w:rsidRPr="009437CB">
              <w:rPr>
                <w:color w:val="000000"/>
                <w:sz w:val="20"/>
                <w:szCs w:val="20"/>
              </w:rPr>
              <w:t xml:space="preserve">$14.18 </w:t>
            </w:r>
          </w:p>
        </w:tc>
        <w:tc>
          <w:tcPr>
            <w:tcW w:w="1872" w:type="dxa"/>
            <w:tcBorders>
              <w:top w:val="nil"/>
              <w:left w:val="nil"/>
              <w:bottom w:val="nil"/>
              <w:right w:val="nil"/>
            </w:tcBorders>
            <w:shd w:val="clear" w:color="auto" w:fill="auto"/>
            <w:noWrap/>
            <w:vAlign w:val="center"/>
            <w:hideMark/>
          </w:tcPr>
          <w:p w14:paraId="0F8CC994" w14:textId="77777777" w:rsidR="009437CB" w:rsidRPr="009437CB" w:rsidRDefault="009437CB" w:rsidP="009437CB">
            <w:pPr>
              <w:jc w:val="right"/>
              <w:rPr>
                <w:color w:val="000000"/>
                <w:sz w:val="20"/>
                <w:szCs w:val="20"/>
              </w:rPr>
            </w:pPr>
            <w:r w:rsidRPr="009437CB">
              <w:rPr>
                <w:color w:val="000000"/>
                <w:sz w:val="20"/>
                <w:szCs w:val="20"/>
              </w:rPr>
              <w:t xml:space="preserve">$21.74 </w:t>
            </w:r>
          </w:p>
        </w:tc>
        <w:tc>
          <w:tcPr>
            <w:tcW w:w="2014" w:type="dxa"/>
            <w:tcBorders>
              <w:top w:val="nil"/>
              <w:left w:val="nil"/>
              <w:bottom w:val="nil"/>
              <w:right w:val="single" w:sz="8" w:space="0" w:color="000000"/>
            </w:tcBorders>
            <w:shd w:val="clear" w:color="auto" w:fill="auto"/>
            <w:noWrap/>
            <w:vAlign w:val="center"/>
            <w:hideMark/>
          </w:tcPr>
          <w:p w14:paraId="271DE1E6"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6C535B57"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21981BE6" w14:textId="77777777" w:rsidR="009437CB" w:rsidRPr="009437CB" w:rsidRDefault="009437CB" w:rsidP="009437CB">
            <w:pPr>
              <w:rPr>
                <w:color w:val="000000"/>
                <w:sz w:val="20"/>
                <w:szCs w:val="20"/>
              </w:rPr>
            </w:pPr>
            <w:r w:rsidRPr="009437CB">
              <w:rPr>
                <w:color w:val="000000"/>
                <w:sz w:val="20"/>
                <w:szCs w:val="20"/>
              </w:rPr>
              <w:t>6,000 Gallons</w:t>
            </w:r>
          </w:p>
        </w:tc>
        <w:tc>
          <w:tcPr>
            <w:tcW w:w="1620" w:type="dxa"/>
            <w:tcBorders>
              <w:top w:val="nil"/>
              <w:left w:val="nil"/>
              <w:bottom w:val="nil"/>
              <w:right w:val="nil"/>
            </w:tcBorders>
            <w:shd w:val="clear" w:color="auto" w:fill="auto"/>
            <w:noWrap/>
            <w:vAlign w:val="center"/>
            <w:hideMark/>
          </w:tcPr>
          <w:p w14:paraId="6372FF0C" w14:textId="77777777" w:rsidR="009437CB" w:rsidRPr="009437CB" w:rsidRDefault="009437CB" w:rsidP="009437CB">
            <w:pPr>
              <w:jc w:val="right"/>
              <w:rPr>
                <w:color w:val="000000"/>
                <w:sz w:val="20"/>
                <w:szCs w:val="20"/>
              </w:rPr>
            </w:pPr>
            <w:r w:rsidRPr="009437CB">
              <w:rPr>
                <w:color w:val="000000"/>
                <w:sz w:val="20"/>
                <w:szCs w:val="20"/>
              </w:rPr>
              <w:t xml:space="preserve">$19.90 </w:t>
            </w:r>
          </w:p>
        </w:tc>
        <w:tc>
          <w:tcPr>
            <w:tcW w:w="1872" w:type="dxa"/>
            <w:tcBorders>
              <w:top w:val="nil"/>
              <w:left w:val="nil"/>
              <w:bottom w:val="nil"/>
              <w:right w:val="nil"/>
            </w:tcBorders>
            <w:shd w:val="clear" w:color="auto" w:fill="auto"/>
            <w:noWrap/>
            <w:vAlign w:val="center"/>
            <w:hideMark/>
          </w:tcPr>
          <w:p w14:paraId="4DAF6DEA" w14:textId="77777777" w:rsidR="009437CB" w:rsidRPr="009437CB" w:rsidRDefault="009437CB" w:rsidP="009437CB">
            <w:pPr>
              <w:jc w:val="right"/>
              <w:rPr>
                <w:color w:val="000000"/>
                <w:sz w:val="20"/>
                <w:szCs w:val="20"/>
              </w:rPr>
            </w:pPr>
            <w:r w:rsidRPr="009437CB">
              <w:rPr>
                <w:color w:val="000000"/>
                <w:sz w:val="20"/>
                <w:szCs w:val="20"/>
              </w:rPr>
              <w:t xml:space="preserve">$42.10 </w:t>
            </w:r>
          </w:p>
        </w:tc>
        <w:tc>
          <w:tcPr>
            <w:tcW w:w="2014" w:type="dxa"/>
            <w:tcBorders>
              <w:top w:val="nil"/>
              <w:left w:val="nil"/>
              <w:bottom w:val="nil"/>
              <w:right w:val="single" w:sz="8" w:space="0" w:color="000000"/>
            </w:tcBorders>
            <w:shd w:val="clear" w:color="auto" w:fill="auto"/>
            <w:noWrap/>
            <w:vAlign w:val="center"/>
            <w:hideMark/>
          </w:tcPr>
          <w:p w14:paraId="5E187BD4"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48018851" w14:textId="77777777" w:rsidTr="008A1092">
        <w:trPr>
          <w:trHeight w:val="258"/>
          <w:jc w:val="center"/>
        </w:trPr>
        <w:tc>
          <w:tcPr>
            <w:tcW w:w="5000" w:type="dxa"/>
            <w:tcBorders>
              <w:top w:val="nil"/>
              <w:left w:val="single" w:sz="8" w:space="0" w:color="000000"/>
              <w:bottom w:val="nil"/>
              <w:right w:val="nil"/>
            </w:tcBorders>
            <w:shd w:val="clear" w:color="auto" w:fill="auto"/>
            <w:noWrap/>
            <w:vAlign w:val="center"/>
            <w:hideMark/>
          </w:tcPr>
          <w:p w14:paraId="54E404F3" w14:textId="77777777" w:rsidR="009437CB" w:rsidRPr="009437CB" w:rsidRDefault="009437CB" w:rsidP="009437CB">
            <w:pPr>
              <w:rPr>
                <w:color w:val="000000"/>
                <w:sz w:val="20"/>
                <w:szCs w:val="20"/>
              </w:rPr>
            </w:pPr>
            <w:r w:rsidRPr="009437CB">
              <w:rPr>
                <w:color w:val="000000"/>
                <w:sz w:val="20"/>
                <w:szCs w:val="20"/>
              </w:rPr>
              <w:t>10,000 Gallons</w:t>
            </w:r>
          </w:p>
        </w:tc>
        <w:tc>
          <w:tcPr>
            <w:tcW w:w="1620" w:type="dxa"/>
            <w:tcBorders>
              <w:top w:val="nil"/>
              <w:left w:val="nil"/>
              <w:bottom w:val="nil"/>
              <w:right w:val="nil"/>
            </w:tcBorders>
            <w:shd w:val="clear" w:color="auto" w:fill="auto"/>
            <w:noWrap/>
            <w:vAlign w:val="center"/>
            <w:hideMark/>
          </w:tcPr>
          <w:p w14:paraId="4A9ED14B" w14:textId="77777777" w:rsidR="009437CB" w:rsidRPr="009437CB" w:rsidRDefault="009437CB" w:rsidP="009437CB">
            <w:pPr>
              <w:jc w:val="right"/>
              <w:rPr>
                <w:color w:val="000000"/>
                <w:sz w:val="20"/>
                <w:szCs w:val="20"/>
              </w:rPr>
            </w:pPr>
            <w:r w:rsidRPr="009437CB">
              <w:rPr>
                <w:color w:val="000000"/>
                <w:sz w:val="20"/>
                <w:szCs w:val="20"/>
              </w:rPr>
              <w:t xml:space="preserve">$28.14 </w:t>
            </w:r>
          </w:p>
        </w:tc>
        <w:tc>
          <w:tcPr>
            <w:tcW w:w="1872" w:type="dxa"/>
            <w:tcBorders>
              <w:top w:val="nil"/>
              <w:left w:val="nil"/>
              <w:bottom w:val="nil"/>
              <w:right w:val="nil"/>
            </w:tcBorders>
            <w:shd w:val="clear" w:color="auto" w:fill="auto"/>
            <w:noWrap/>
            <w:vAlign w:val="center"/>
            <w:hideMark/>
          </w:tcPr>
          <w:p w14:paraId="49CFFD1E" w14:textId="77777777" w:rsidR="009437CB" w:rsidRPr="009437CB" w:rsidRDefault="009437CB" w:rsidP="009437CB">
            <w:pPr>
              <w:jc w:val="right"/>
              <w:rPr>
                <w:color w:val="000000"/>
                <w:sz w:val="20"/>
                <w:szCs w:val="20"/>
              </w:rPr>
            </w:pPr>
            <w:r w:rsidRPr="009437CB">
              <w:rPr>
                <w:color w:val="000000"/>
                <w:sz w:val="20"/>
                <w:szCs w:val="20"/>
              </w:rPr>
              <w:t xml:space="preserve">$66.54 </w:t>
            </w:r>
          </w:p>
        </w:tc>
        <w:tc>
          <w:tcPr>
            <w:tcW w:w="2014" w:type="dxa"/>
            <w:tcBorders>
              <w:top w:val="nil"/>
              <w:left w:val="nil"/>
              <w:bottom w:val="nil"/>
              <w:right w:val="single" w:sz="8" w:space="0" w:color="000000"/>
            </w:tcBorders>
            <w:shd w:val="clear" w:color="auto" w:fill="auto"/>
            <w:noWrap/>
            <w:vAlign w:val="center"/>
            <w:hideMark/>
          </w:tcPr>
          <w:p w14:paraId="4B2E3DB1"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421E4F25" w14:textId="77777777" w:rsidTr="008A1092">
        <w:trPr>
          <w:trHeight w:val="258"/>
          <w:jc w:val="center"/>
        </w:trPr>
        <w:tc>
          <w:tcPr>
            <w:tcW w:w="5000" w:type="dxa"/>
            <w:tcBorders>
              <w:top w:val="nil"/>
              <w:left w:val="single" w:sz="8" w:space="0" w:color="000000"/>
              <w:bottom w:val="nil"/>
              <w:right w:val="nil"/>
            </w:tcBorders>
            <w:shd w:val="clear" w:color="auto" w:fill="auto"/>
            <w:noWrap/>
            <w:vAlign w:val="bottom"/>
            <w:hideMark/>
          </w:tcPr>
          <w:p w14:paraId="7DD75D2B"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nil"/>
              <w:right w:val="nil"/>
            </w:tcBorders>
            <w:shd w:val="clear" w:color="auto" w:fill="auto"/>
            <w:noWrap/>
            <w:vAlign w:val="bottom"/>
            <w:hideMark/>
          </w:tcPr>
          <w:p w14:paraId="4A1E4158" w14:textId="77777777" w:rsidR="009437CB" w:rsidRPr="009437CB" w:rsidRDefault="009437CB" w:rsidP="009437CB">
            <w:pPr>
              <w:rPr>
                <w:sz w:val="20"/>
                <w:szCs w:val="20"/>
              </w:rPr>
            </w:pPr>
          </w:p>
        </w:tc>
        <w:tc>
          <w:tcPr>
            <w:tcW w:w="1872" w:type="dxa"/>
            <w:tcBorders>
              <w:top w:val="nil"/>
              <w:left w:val="nil"/>
              <w:bottom w:val="nil"/>
              <w:right w:val="nil"/>
            </w:tcBorders>
            <w:shd w:val="clear" w:color="auto" w:fill="auto"/>
            <w:noWrap/>
            <w:vAlign w:val="bottom"/>
            <w:hideMark/>
          </w:tcPr>
          <w:p w14:paraId="05BD973A" w14:textId="77777777" w:rsidR="009437CB" w:rsidRPr="009437CB" w:rsidRDefault="009437CB" w:rsidP="009437CB">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555F3FC5" w14:textId="77777777" w:rsidR="009437CB" w:rsidRPr="009437CB" w:rsidRDefault="009437CB" w:rsidP="009437CB">
            <w:pPr>
              <w:jc w:val="right"/>
              <w:rPr>
                <w:color w:val="000000"/>
                <w:sz w:val="20"/>
                <w:szCs w:val="20"/>
              </w:rPr>
            </w:pPr>
            <w:r w:rsidRPr="009437CB">
              <w:rPr>
                <w:color w:val="000000"/>
                <w:sz w:val="20"/>
                <w:szCs w:val="20"/>
              </w:rPr>
              <w:t> </w:t>
            </w:r>
          </w:p>
        </w:tc>
      </w:tr>
      <w:tr w:rsidR="009437CB" w:rsidRPr="009437CB" w14:paraId="6ABC3D61" w14:textId="77777777" w:rsidTr="008A1092">
        <w:trPr>
          <w:trHeight w:val="266"/>
          <w:jc w:val="center"/>
        </w:trPr>
        <w:tc>
          <w:tcPr>
            <w:tcW w:w="5000" w:type="dxa"/>
            <w:tcBorders>
              <w:top w:val="nil"/>
              <w:left w:val="single" w:sz="8" w:space="0" w:color="000000"/>
              <w:bottom w:val="single" w:sz="8" w:space="0" w:color="000000"/>
              <w:right w:val="nil"/>
            </w:tcBorders>
            <w:shd w:val="clear" w:color="auto" w:fill="auto"/>
            <w:noWrap/>
            <w:vAlign w:val="bottom"/>
            <w:hideMark/>
          </w:tcPr>
          <w:p w14:paraId="1FCF0B78" w14:textId="77777777" w:rsidR="009437CB" w:rsidRPr="009437CB" w:rsidRDefault="009437CB" w:rsidP="009437CB">
            <w:pPr>
              <w:rPr>
                <w:sz w:val="20"/>
                <w:szCs w:val="20"/>
              </w:rPr>
            </w:pPr>
            <w:r w:rsidRPr="009437CB">
              <w:rPr>
                <w:sz w:val="20"/>
                <w:szCs w:val="20"/>
              </w:rPr>
              <w:t> </w:t>
            </w:r>
          </w:p>
        </w:tc>
        <w:tc>
          <w:tcPr>
            <w:tcW w:w="1620" w:type="dxa"/>
            <w:tcBorders>
              <w:top w:val="nil"/>
              <w:left w:val="nil"/>
              <w:bottom w:val="single" w:sz="8" w:space="0" w:color="000000"/>
              <w:right w:val="nil"/>
            </w:tcBorders>
            <w:shd w:val="clear" w:color="auto" w:fill="auto"/>
            <w:noWrap/>
            <w:vAlign w:val="bottom"/>
            <w:hideMark/>
          </w:tcPr>
          <w:p w14:paraId="64F7C9F1" w14:textId="77777777" w:rsidR="009437CB" w:rsidRPr="009437CB" w:rsidRDefault="009437CB" w:rsidP="009437CB">
            <w:pPr>
              <w:rPr>
                <w:sz w:val="20"/>
                <w:szCs w:val="20"/>
              </w:rPr>
            </w:pPr>
            <w:r w:rsidRPr="009437CB">
              <w:rPr>
                <w:sz w:val="20"/>
                <w:szCs w:val="20"/>
              </w:rPr>
              <w:t> </w:t>
            </w:r>
          </w:p>
        </w:tc>
        <w:tc>
          <w:tcPr>
            <w:tcW w:w="1872" w:type="dxa"/>
            <w:tcBorders>
              <w:top w:val="nil"/>
              <w:left w:val="nil"/>
              <w:bottom w:val="single" w:sz="8" w:space="0" w:color="000000"/>
              <w:right w:val="nil"/>
            </w:tcBorders>
            <w:shd w:val="clear" w:color="auto" w:fill="auto"/>
            <w:noWrap/>
            <w:vAlign w:val="bottom"/>
            <w:hideMark/>
          </w:tcPr>
          <w:p w14:paraId="110B0A1B" w14:textId="77777777" w:rsidR="009437CB" w:rsidRPr="009437CB" w:rsidRDefault="009437CB" w:rsidP="009437CB">
            <w:pPr>
              <w:rPr>
                <w:sz w:val="20"/>
                <w:szCs w:val="20"/>
              </w:rPr>
            </w:pPr>
            <w:r w:rsidRPr="009437CB">
              <w:rPr>
                <w:sz w:val="20"/>
                <w:szCs w:val="20"/>
              </w:rPr>
              <w:t> </w:t>
            </w:r>
          </w:p>
        </w:tc>
        <w:tc>
          <w:tcPr>
            <w:tcW w:w="2014" w:type="dxa"/>
            <w:tcBorders>
              <w:top w:val="nil"/>
              <w:left w:val="nil"/>
              <w:bottom w:val="single" w:sz="8" w:space="0" w:color="000000"/>
              <w:right w:val="single" w:sz="8" w:space="0" w:color="000000"/>
            </w:tcBorders>
            <w:shd w:val="clear" w:color="auto" w:fill="auto"/>
            <w:noWrap/>
            <w:vAlign w:val="center"/>
            <w:hideMark/>
          </w:tcPr>
          <w:p w14:paraId="6F8F6255" w14:textId="77777777" w:rsidR="009437CB" w:rsidRPr="009437CB" w:rsidRDefault="009437CB" w:rsidP="009437CB">
            <w:pPr>
              <w:jc w:val="right"/>
              <w:rPr>
                <w:color w:val="000000"/>
                <w:sz w:val="20"/>
                <w:szCs w:val="20"/>
              </w:rPr>
            </w:pPr>
            <w:r w:rsidRPr="009437CB">
              <w:rPr>
                <w:color w:val="000000"/>
                <w:sz w:val="20"/>
                <w:szCs w:val="20"/>
              </w:rPr>
              <w:t> </w:t>
            </w:r>
          </w:p>
        </w:tc>
      </w:tr>
    </w:tbl>
    <w:p w14:paraId="41270C4F" w14:textId="7026C896" w:rsidR="0005280C" w:rsidRDefault="00555E72" w:rsidP="009E1A03">
      <w:pPr>
        <w:pStyle w:val="IssueHeading"/>
      </w:pPr>
      <w:r w:rsidRPr="00555E72">
        <w:fldChar w:fldCharType="begin"/>
      </w:r>
      <w:r w:rsidRPr="00555E72">
        <w:instrText xml:space="preserve"> TC "</w:instrText>
      </w:r>
      <w:bookmarkStart w:id="66" w:name="_Toc231452288"/>
      <w:r w:rsidRPr="00555E72">
        <w:tab/>
        <w:instrText>Schedule No. 4</w:instrText>
      </w:r>
      <w:bookmarkEnd w:id="66"/>
      <w:r w:rsidRPr="00555E72">
        <w:instrText xml:space="preserve">" </w:instrText>
      </w:r>
      <w:r w:rsidRPr="00555E72">
        <w:fldChar w:fldCharType="end"/>
      </w:r>
    </w:p>
    <w:sectPr w:rsidR="0005280C" w:rsidSect="0068481F">
      <w:headerReference w:type="default" r:id="rId32"/>
      <w:headerReference w:type="first" r:id="rId33"/>
      <w:footerReference w:type="first" r:id="rId34"/>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81D0" w14:textId="77777777" w:rsidR="00C215BF" w:rsidRDefault="00C215BF">
      <w:r>
        <w:separator/>
      </w:r>
    </w:p>
  </w:endnote>
  <w:endnote w:type="continuationSeparator" w:id="0">
    <w:p w14:paraId="4D6B87A2" w14:textId="77777777" w:rsidR="00C215BF" w:rsidRDefault="00C2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93E7" w14:textId="77777777" w:rsidR="007B3C77" w:rsidRDefault="007B3C77">
    <w:pPr>
      <w:pStyle w:val="Footer"/>
    </w:pPr>
  </w:p>
  <w:p w14:paraId="1DE0E5F4" w14:textId="77777777" w:rsidR="007B3C77" w:rsidRDefault="007B3C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62B3" w14:textId="40594599" w:rsidR="007B3C77" w:rsidRDefault="007B3C77">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C26E43">
      <w:rPr>
        <w:rStyle w:val="PageNumber"/>
        <w:noProof/>
      </w:rPr>
      <w:t>25</w:t>
    </w:r>
    <w:r>
      <w:rPr>
        <w:rStyle w:val="PageNumber"/>
      </w:rPr>
      <w:fldChar w:fldCharType="end"/>
    </w:r>
    <w:r>
      <w:rPr>
        <w:rStyle w:val="PageNumber"/>
      </w:rPr>
      <w:t xml:space="preserve"> -</w:t>
    </w:r>
  </w:p>
  <w:p w14:paraId="081D38DC" w14:textId="77777777" w:rsidR="007B3C77" w:rsidRDefault="007B3C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6BE8" w14:textId="77777777" w:rsidR="00AD1D97" w:rsidRDefault="00AD1D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922E" w14:textId="77777777" w:rsidR="007B3C77" w:rsidRDefault="007B3C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8169" w14:textId="77777777" w:rsidR="007B3C77" w:rsidRDefault="007B3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8781" w14:textId="77777777" w:rsidR="00C215BF" w:rsidRDefault="00C215BF">
      <w:r>
        <w:separator/>
      </w:r>
    </w:p>
  </w:footnote>
  <w:footnote w:type="continuationSeparator" w:id="0">
    <w:p w14:paraId="120A123A" w14:textId="77777777" w:rsidR="00C215BF" w:rsidRDefault="00C215BF">
      <w:r>
        <w:continuationSeparator/>
      </w:r>
    </w:p>
  </w:footnote>
  <w:footnote w:id="1">
    <w:p w14:paraId="2F458CFB" w14:textId="10E0CAEB" w:rsidR="007B3C77" w:rsidRPr="002F41C8" w:rsidRDefault="007B3C77" w:rsidP="00555E72">
      <w:pPr>
        <w:pStyle w:val="FootnoteText"/>
        <w:rPr>
          <w:i/>
        </w:rPr>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2">
    <w:p w14:paraId="55853516" w14:textId="77777777" w:rsidR="00637308" w:rsidRDefault="00637308" w:rsidP="00637308">
      <w:pPr>
        <w:pStyle w:val="FootnoteText"/>
      </w:pPr>
      <w:r>
        <w:rPr>
          <w:rStyle w:val="FootnoteReference"/>
        </w:rPr>
        <w:footnoteRef/>
      </w:r>
      <w:r>
        <w:t xml:space="preserve"> Document No. 08854-2025, filed September 2, 2025.</w:t>
      </w:r>
    </w:p>
  </w:footnote>
  <w:footnote w:id="3">
    <w:p w14:paraId="61BC701B" w14:textId="77777777" w:rsidR="007B3C77" w:rsidRDefault="007B3C77" w:rsidP="00555E72">
      <w:pPr>
        <w:pStyle w:val="FootnoteText"/>
      </w:pPr>
      <w:r>
        <w:rPr>
          <w:rStyle w:val="FootnoteReference"/>
        </w:rPr>
        <w:footnoteRef/>
      </w:r>
      <w:r>
        <w:t xml:space="preserve"> Document No. 01642-2026, filed March 19, 2026.</w:t>
      </w:r>
    </w:p>
  </w:footnote>
  <w:footnote w:id="4">
    <w:p w14:paraId="6EF75A62" w14:textId="7CC9EA89" w:rsidR="00D162F6" w:rsidRDefault="00D162F6" w:rsidP="00D162F6">
      <w:pPr>
        <w:pStyle w:val="FootnoteText"/>
      </w:pPr>
      <w:r>
        <w:rPr>
          <w:rStyle w:val="FootnoteReference"/>
        </w:rPr>
        <w:footnoteRef/>
      </w:r>
      <w:r>
        <w:t xml:space="preserve"> Document No. 03352-2026, filed June 5, 2026.</w:t>
      </w:r>
    </w:p>
  </w:footnote>
  <w:footnote w:id="5">
    <w:p w14:paraId="2253469B" w14:textId="77777777" w:rsidR="00D162F6" w:rsidRDefault="00D162F6" w:rsidP="00D162F6">
      <w:pPr>
        <w:pStyle w:val="FootnoteText"/>
      </w:pPr>
      <w:r>
        <w:rPr>
          <w:rStyle w:val="FootnoteReference"/>
        </w:rPr>
        <w:footnoteRef/>
      </w:r>
      <w:r>
        <w:t xml:space="preserve"> Document No. 03352-2026, filed June 5, 2026.</w:t>
      </w:r>
    </w:p>
  </w:footnote>
  <w:footnote w:id="6">
    <w:p w14:paraId="6FC87C73" w14:textId="67724721" w:rsidR="00D162F6" w:rsidRDefault="00D162F6" w:rsidP="00D162F6">
      <w:pPr>
        <w:pStyle w:val="FootnoteText"/>
      </w:pPr>
      <w:r>
        <w:rPr>
          <w:rStyle w:val="FootnoteReference"/>
        </w:rPr>
        <w:footnoteRef/>
      </w:r>
      <w:r>
        <w:t xml:space="preserve"> </w:t>
      </w:r>
      <w:r w:rsidR="000D05DA" w:rsidRPr="000D05DA">
        <w:rPr>
          <w:i/>
          <w:iCs/>
        </w:rPr>
        <w:t>Id</w:t>
      </w:r>
      <w:r w:rsidR="0070350D" w:rsidRPr="000D05DA">
        <w:rPr>
          <w:i/>
          <w:iCs/>
        </w:rPr>
        <w:t>.</w:t>
      </w:r>
    </w:p>
  </w:footnote>
  <w:footnote w:id="7">
    <w:p w14:paraId="795B474D" w14:textId="77777777" w:rsidR="00D162F6" w:rsidRDefault="00D162F6" w:rsidP="00D162F6">
      <w:pPr>
        <w:pStyle w:val="FootnoteText"/>
      </w:pPr>
      <w:r>
        <w:rPr>
          <w:rStyle w:val="FootnoteReference"/>
        </w:rPr>
        <w:footnoteRef/>
      </w:r>
      <w:r>
        <w:t xml:space="preserve"> </w:t>
      </w:r>
      <w:r w:rsidRPr="007C3036">
        <w:rPr>
          <w:i/>
          <w:iCs/>
        </w:rPr>
        <w:t>Id.</w:t>
      </w:r>
    </w:p>
  </w:footnote>
  <w:footnote w:id="8">
    <w:p w14:paraId="1AB18D29" w14:textId="77777777" w:rsidR="002C4F65" w:rsidRDefault="002C4F65" w:rsidP="002C4F65">
      <w:pPr>
        <w:pStyle w:val="FootnoteText"/>
      </w:pPr>
      <w:r>
        <w:rPr>
          <w:rStyle w:val="FootnoteReference"/>
        </w:rPr>
        <w:footnoteRef/>
      </w:r>
      <w:r>
        <w:t xml:space="preserve"> </w:t>
      </w:r>
      <w:bookmarkStart w:id="22" w:name="_Hlk233031085"/>
      <w:r w:rsidRPr="00C771D0">
        <w:t>Document No. 02561-2026, filed May 1, 2026.</w:t>
      </w:r>
      <w:bookmarkEnd w:id="22"/>
    </w:p>
  </w:footnote>
  <w:footnote w:id="9">
    <w:p w14:paraId="288120BB" w14:textId="77777777" w:rsidR="002C4F65" w:rsidRDefault="002C4F65" w:rsidP="002C4F65">
      <w:pPr>
        <w:pStyle w:val="FootnoteText"/>
      </w:pPr>
      <w:r>
        <w:rPr>
          <w:rStyle w:val="FootnoteReference"/>
        </w:rPr>
        <w:footnoteRef/>
      </w:r>
      <w:r>
        <w:t xml:space="preserve"> </w:t>
      </w:r>
      <w:r w:rsidRPr="00C771D0">
        <w:rPr>
          <w:i/>
          <w:iCs/>
        </w:rPr>
        <w:t>Id.</w:t>
      </w:r>
    </w:p>
  </w:footnote>
  <w:footnote w:id="10">
    <w:p w14:paraId="7CD180AB" w14:textId="77777777" w:rsidR="002C4F65" w:rsidRPr="006B2B9B" w:rsidRDefault="002C4F65" w:rsidP="002C4F65">
      <w:pPr>
        <w:pStyle w:val="FootnoteText"/>
      </w:pPr>
      <w:r>
        <w:rPr>
          <w:rStyle w:val="FootnoteReference"/>
        </w:rPr>
        <w:footnoteRef/>
      </w:r>
      <w:r>
        <w:t xml:space="preserve"> </w:t>
      </w:r>
      <w:r w:rsidRPr="00050FB1">
        <w:rPr>
          <w:i/>
          <w:iCs/>
        </w:rPr>
        <w:t>Id.</w:t>
      </w:r>
    </w:p>
  </w:footnote>
  <w:footnote w:id="11">
    <w:p w14:paraId="0C421F0E" w14:textId="2F27D60D" w:rsidR="002C4F65" w:rsidRPr="009C07B6" w:rsidRDefault="002C4F65" w:rsidP="002C4F65">
      <w:pPr>
        <w:pStyle w:val="FootnoteText"/>
        <w:rPr>
          <w:i/>
          <w:iCs/>
        </w:rPr>
      </w:pPr>
      <w:r>
        <w:rPr>
          <w:rStyle w:val="FootnoteReference"/>
        </w:rPr>
        <w:footnoteRef/>
      </w:r>
      <w:r>
        <w:t xml:space="preserve"> Order No. PSC-</w:t>
      </w:r>
      <w:r w:rsidR="00B45108">
        <w:t>20</w:t>
      </w:r>
      <w:r>
        <w:t xml:space="preserve">14-0018-PAA-WS, issued January 7, 2014, in Docket No. 20130180-WS, </w:t>
      </w:r>
      <w:r w:rsidRPr="009C07B6">
        <w:rPr>
          <w:i/>
          <w:iCs/>
        </w:rPr>
        <w:t xml:space="preserve">In re: </w:t>
      </w:r>
      <w:r>
        <w:rPr>
          <w:i/>
          <w:iCs/>
        </w:rPr>
        <w:t>Application for original certificate to provide water and wastewater service in Lake County by Sunlake Estates Utilities, L.L.C.</w:t>
      </w:r>
    </w:p>
  </w:footnote>
  <w:footnote w:id="12">
    <w:p w14:paraId="2E86CA4C" w14:textId="77777777" w:rsidR="002C4F65" w:rsidRDefault="002C4F65" w:rsidP="002C4F65">
      <w:pPr>
        <w:pStyle w:val="FootnoteText"/>
      </w:pPr>
      <w:r>
        <w:rPr>
          <w:rStyle w:val="FootnoteReference"/>
        </w:rPr>
        <w:footnoteRef/>
      </w:r>
      <w:r>
        <w:t xml:space="preserve"> Document No. 00925-2026, filed February 4, 2026.</w:t>
      </w:r>
    </w:p>
  </w:footnote>
  <w:footnote w:id="13">
    <w:p w14:paraId="040B9929" w14:textId="117810A9" w:rsidR="002C4F65" w:rsidRDefault="002C4F65" w:rsidP="002C4F65">
      <w:pPr>
        <w:pStyle w:val="FootnoteText"/>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14">
    <w:p w14:paraId="4BFF5B50" w14:textId="77777777" w:rsidR="002C4F65" w:rsidRDefault="002C4F65" w:rsidP="002C4F65">
      <w:pPr>
        <w:pStyle w:val="FootnoteText"/>
      </w:pPr>
      <w:r w:rsidRPr="00752002">
        <w:rPr>
          <w:rStyle w:val="FootnoteReference"/>
        </w:rPr>
        <w:footnoteRef/>
      </w:r>
      <w:r>
        <w:t xml:space="preserve"> </w:t>
      </w:r>
      <w:r w:rsidRPr="00752002">
        <w:t xml:space="preserve">Order No. PSC-2017-0361-FOF-WS, issued September 25, 2017, in Docket No. 20160101-WS, </w:t>
      </w:r>
      <w:r w:rsidRPr="00752002">
        <w:rPr>
          <w:i/>
        </w:rPr>
        <w:t>In re: Application for increase in water and wastewater rates in Charlotte, Highlands, Lake, Lee, Marion, Orange, Pasco, Pinellas, Polk, and Seminole Counties by Utilities, Inc. of Florida.</w:t>
      </w:r>
      <w:r>
        <w:t xml:space="preserve"> </w:t>
      </w:r>
    </w:p>
  </w:footnote>
  <w:footnote w:id="15">
    <w:p w14:paraId="1E5EE65A" w14:textId="77777777" w:rsidR="002C4F65" w:rsidRDefault="002C4F65" w:rsidP="002C4F65">
      <w:pPr>
        <w:pStyle w:val="FootnoteText"/>
      </w:pPr>
      <w:r>
        <w:rPr>
          <w:rStyle w:val="FootnoteReference"/>
        </w:rPr>
        <w:footnoteRef/>
      </w:r>
      <w:r>
        <w:rPr>
          <w:i/>
        </w:rPr>
        <w:t xml:space="preserve"> </w:t>
      </w:r>
      <w:r w:rsidRPr="00A300E2">
        <w:rPr>
          <w:i/>
        </w:rPr>
        <w:t>Id</w:t>
      </w:r>
      <w:r>
        <w:t>.</w:t>
      </w:r>
    </w:p>
  </w:footnote>
  <w:footnote w:id="16">
    <w:p w14:paraId="43B83FE2" w14:textId="4DCE7C2B" w:rsidR="005352B0" w:rsidRDefault="005352B0">
      <w:pPr>
        <w:pStyle w:val="FootnoteText"/>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17">
    <w:p w14:paraId="332179A6" w14:textId="60290BF2" w:rsidR="005352B0" w:rsidRDefault="005352B0">
      <w:pPr>
        <w:pStyle w:val="FootnoteText"/>
      </w:pPr>
      <w:r>
        <w:rPr>
          <w:rStyle w:val="FootnoteReference"/>
        </w:rPr>
        <w:footnoteRef/>
      </w:r>
      <w:r>
        <w:t xml:space="preserve"> </w:t>
      </w:r>
      <w:r w:rsidRPr="005352B0">
        <w:rPr>
          <w:i/>
          <w:iCs/>
        </w:rPr>
        <w:t>Id</w:t>
      </w:r>
      <w:r>
        <w:t>.</w:t>
      </w:r>
    </w:p>
  </w:footnote>
  <w:footnote w:id="18">
    <w:p w14:paraId="39B7DFD1" w14:textId="67417FBF" w:rsidR="002C4F65" w:rsidRDefault="002C4F65" w:rsidP="002C4F65">
      <w:pPr>
        <w:pStyle w:val="FootnoteText"/>
      </w:pPr>
      <w:r>
        <w:rPr>
          <w:rStyle w:val="FootnoteReference"/>
        </w:rPr>
        <w:footnoteRef/>
      </w:r>
      <w:r>
        <w:t xml:space="preserve"> </w:t>
      </w:r>
      <w:r w:rsidR="005352B0" w:rsidRPr="005352B0">
        <w:rPr>
          <w:i/>
          <w:iCs/>
        </w:rPr>
        <w:t>Id.</w:t>
      </w:r>
    </w:p>
  </w:footnote>
  <w:footnote w:id="19">
    <w:p w14:paraId="5E121596" w14:textId="77777777" w:rsidR="002C4F65" w:rsidRPr="006A3209" w:rsidRDefault="002C4F65" w:rsidP="002C4F65">
      <w:pPr>
        <w:pStyle w:val="FootnoteText"/>
        <w:rPr>
          <w:i/>
        </w:rPr>
      </w:pPr>
      <w:r>
        <w:rPr>
          <w:rStyle w:val="FootnoteReference"/>
        </w:rPr>
        <w:footnoteRef/>
      </w:r>
      <w:r>
        <w:t xml:space="preserve"> </w:t>
      </w:r>
      <w:r w:rsidRPr="00050142">
        <w:t xml:space="preserve">Order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20">
    <w:p w14:paraId="697E8B35" w14:textId="68755E68" w:rsidR="002C4F65" w:rsidRDefault="002C4F65" w:rsidP="002C4F65">
      <w:pPr>
        <w:pStyle w:val="FootnoteText"/>
      </w:pPr>
      <w:r>
        <w:rPr>
          <w:rStyle w:val="FootnoteReference"/>
        </w:rPr>
        <w:footnoteRef/>
      </w:r>
      <w:r>
        <w:t xml:space="preserve"> Order No. PSC-2026-0223-PAA-WS, issued June 22, 2026, in Docket No. 20260006-WS, </w:t>
      </w:r>
      <w:r>
        <w:rPr>
          <w:i/>
        </w:rPr>
        <w:t>In re: Water and wastewater industry annual reestablishment of authorized range of return on common equity for water and wastewater utilities pursuant to Section 367.081(4)(f), F.S.</w:t>
      </w:r>
      <w:r>
        <w:t xml:space="preserve"> </w:t>
      </w:r>
    </w:p>
  </w:footnote>
  <w:footnote w:id="21">
    <w:p w14:paraId="637B4000" w14:textId="77777777" w:rsidR="00637308" w:rsidRDefault="00637308" w:rsidP="00637308">
      <w:pPr>
        <w:pStyle w:val="FootnoteText"/>
      </w:pPr>
      <w:r>
        <w:rPr>
          <w:rStyle w:val="FootnoteReference"/>
        </w:rPr>
        <w:footnoteRef/>
      </w:r>
      <w:r>
        <w:t xml:space="preserve"> </w:t>
      </w:r>
      <w:bookmarkStart w:id="35" w:name="_Hlk234848516"/>
      <w:r>
        <w:t xml:space="preserve">Order No. </w:t>
      </w:r>
      <w:r w:rsidRPr="00BB1EB4">
        <w:t>PSC-</w:t>
      </w:r>
      <w:r>
        <w:t>2014</w:t>
      </w:r>
      <w:r w:rsidRPr="00BB1EB4">
        <w:t>-</w:t>
      </w:r>
      <w:r>
        <w:t>0018-PAA-</w:t>
      </w:r>
      <w:r w:rsidRPr="00BB1EB4">
        <w:t>WS</w:t>
      </w:r>
      <w:r>
        <w:t>, issued January 7, 2014, in Docket No. 20130180-WS</w:t>
      </w:r>
      <w:r w:rsidRPr="00214765">
        <w:t>, In re:</w:t>
      </w:r>
      <w:r>
        <w:t xml:space="preserve"> </w:t>
      </w:r>
      <w:r w:rsidRPr="00EC62A3">
        <w:rPr>
          <w:i/>
          <w:iCs/>
        </w:rPr>
        <w:t>Application for original certificates to provide water and wastewater service in Lake County by</w:t>
      </w:r>
      <w:r w:rsidRPr="004F374C">
        <w:rPr>
          <w:i/>
        </w:rPr>
        <w:t xml:space="preserve"> Sunlake Estates Utilities, L.L.C.</w:t>
      </w:r>
      <w:bookmarkEnd w:id="35"/>
    </w:p>
  </w:footnote>
  <w:footnote w:id="22">
    <w:p w14:paraId="5C8617D8" w14:textId="77777777" w:rsidR="004F5164" w:rsidRDefault="004F5164" w:rsidP="004F5164">
      <w:pPr>
        <w:pStyle w:val="FootnoteText"/>
      </w:pPr>
      <w:r>
        <w:rPr>
          <w:rStyle w:val="FootnoteReference"/>
        </w:rPr>
        <w:footnoteRef/>
      </w:r>
      <w:r>
        <w:t xml:space="preserve"> Document No. 03680-2026, filed June 23, 2026.</w:t>
      </w:r>
    </w:p>
  </w:footnote>
  <w:footnote w:id="23">
    <w:p w14:paraId="1417E318" w14:textId="207E4934" w:rsidR="002C4F65" w:rsidRDefault="002C4F65" w:rsidP="002C4F65">
      <w:pPr>
        <w:pStyle w:val="FootnoteText"/>
      </w:pPr>
      <w:r>
        <w:rPr>
          <w:rStyle w:val="FootnoteReference"/>
        </w:rPr>
        <w:footnoteRef/>
      </w:r>
      <w:r>
        <w:t xml:space="preserve"> Document No. 00929-2026, filed February 4, 2026.</w:t>
      </w:r>
    </w:p>
  </w:footnote>
  <w:footnote w:id="24">
    <w:p w14:paraId="736FC178" w14:textId="0542C8E4" w:rsidR="002C4F65" w:rsidRDefault="002C4F65" w:rsidP="002C4F65">
      <w:pPr>
        <w:pStyle w:val="FootnoteText"/>
      </w:pPr>
      <w:r>
        <w:rPr>
          <w:rStyle w:val="FootnoteReference"/>
        </w:rPr>
        <w:footnoteRef/>
      </w:r>
      <w:r>
        <w:t xml:space="preserve"> </w:t>
      </w:r>
      <w:r w:rsidR="005352B0" w:rsidRPr="00FB1B3E">
        <w:rPr>
          <w:i/>
          <w:iCs/>
        </w:rPr>
        <w:t>Id.</w:t>
      </w:r>
    </w:p>
  </w:footnote>
  <w:footnote w:id="25">
    <w:p w14:paraId="72931EC4" w14:textId="5F7B28D8" w:rsidR="00342C85" w:rsidRDefault="00342C85">
      <w:pPr>
        <w:pStyle w:val="FootnoteText"/>
      </w:pPr>
      <w:r>
        <w:rPr>
          <w:rStyle w:val="FootnoteReference"/>
        </w:rPr>
        <w:footnoteRef/>
      </w:r>
      <w:r>
        <w:t xml:space="preserve"> Document No. 03697-2026, filed June 23, 2026.</w:t>
      </w:r>
    </w:p>
  </w:footnote>
  <w:footnote w:id="26">
    <w:p w14:paraId="215E09D0" w14:textId="52C5AE13" w:rsidR="002C4F65" w:rsidRPr="008906AB" w:rsidRDefault="002C4F65" w:rsidP="002C4F65">
      <w:pPr>
        <w:pStyle w:val="FootnoteText"/>
        <w:rPr>
          <w:rStyle w:val="Emphasis"/>
        </w:rPr>
      </w:pPr>
      <w:r>
        <w:rPr>
          <w:rStyle w:val="FootnoteReference"/>
        </w:rPr>
        <w:footnoteRef/>
      </w:r>
      <w:r>
        <w:t xml:space="preserve"> </w:t>
      </w:r>
      <w:r w:rsidRPr="000D05DA">
        <w:rPr>
          <w:i/>
          <w:iCs/>
        </w:rPr>
        <w:t>See</w:t>
      </w:r>
      <w:r>
        <w:t xml:space="preserve"> Order No. </w:t>
      </w:r>
      <w:r w:rsidRPr="008906AB">
        <w:t>PSC-2026-0115-PAA-WS</w:t>
      </w:r>
      <w:r>
        <w:t xml:space="preserve">, issued April 27, 2026, in Docket No. 20250094-WS, </w:t>
      </w:r>
      <w:r w:rsidRPr="008906AB">
        <w:rPr>
          <w:i/>
          <w:iCs/>
        </w:rPr>
        <w:t>In re: Application for staff-assisted rate case in Polk County, by GCP Plantation Landings, LLC</w:t>
      </w:r>
      <w:r>
        <w:rPr>
          <w:i/>
          <w:iCs/>
        </w:rPr>
        <w:t xml:space="preserve">.; </w:t>
      </w:r>
      <w:r w:rsidRPr="008906AB">
        <w:t xml:space="preserve">Order No. </w:t>
      </w:r>
      <w:r>
        <w:t xml:space="preserve">PSC-2026-0114-PAA-SU, issued April 27, 2026, in Docket No. 20250084-SU, </w:t>
      </w:r>
      <w:r w:rsidRPr="008906AB">
        <w:rPr>
          <w:i/>
          <w:iCs/>
        </w:rPr>
        <w:t>In re: Application for staff-assisted rate case in</w:t>
      </w:r>
      <w:r>
        <w:rPr>
          <w:i/>
          <w:iCs/>
        </w:rPr>
        <w:t xml:space="preserve"> </w:t>
      </w:r>
      <w:r w:rsidRPr="008906AB">
        <w:rPr>
          <w:i/>
          <w:iCs/>
        </w:rPr>
        <w:t>Orange County, by Gulfstream Utility LLC.</w:t>
      </w:r>
      <w:r>
        <w:rPr>
          <w:i/>
          <w:iCs/>
        </w:rPr>
        <w:t>;</w:t>
      </w:r>
      <w:r w:rsidRPr="008906AB">
        <w:t xml:space="preserve"> Order No. PSC-2026-0232-PAA-WU, issued June 22, 2026, in Docket No.</w:t>
      </w:r>
      <w:r>
        <w:t xml:space="preserve"> </w:t>
      </w:r>
      <w:r w:rsidRPr="008906AB">
        <w:t>20250088-WU</w:t>
      </w:r>
      <w:r>
        <w:t xml:space="preserve">, </w:t>
      </w:r>
      <w:r w:rsidRPr="008906AB">
        <w:rPr>
          <w:i/>
          <w:iCs/>
        </w:rPr>
        <w:t>In re</w:t>
      </w:r>
      <w:r>
        <w:rPr>
          <w:i/>
          <w:iCs/>
        </w:rPr>
        <w:t>:</w:t>
      </w:r>
      <w:r w:rsidRPr="008906AB">
        <w:rPr>
          <w:i/>
          <w:iCs/>
        </w:rPr>
        <w:t xml:space="preserve"> </w:t>
      </w:r>
      <w:bookmarkStart w:id="38" w:name="_Hlk233726692"/>
      <w:r w:rsidRPr="008906AB">
        <w:rPr>
          <w:i/>
          <w:iCs/>
        </w:rPr>
        <w:t>Application for staff-assisted rate case in</w:t>
      </w:r>
      <w:bookmarkEnd w:id="38"/>
      <w:r w:rsidRPr="008906AB">
        <w:rPr>
          <w:i/>
          <w:iCs/>
        </w:rPr>
        <w:t xml:space="preserve"> Lake County by Sun Communities </w:t>
      </w:r>
      <w:r w:rsidR="00B45108" w:rsidRPr="008906AB">
        <w:rPr>
          <w:i/>
          <w:iCs/>
        </w:rPr>
        <w:t>Finance, LLC</w:t>
      </w:r>
      <w:r w:rsidRPr="008906AB">
        <w:rPr>
          <w:i/>
          <w:iCs/>
        </w:rPr>
        <w:t xml:space="preserve"> d/b/a Water Oak Utility.</w:t>
      </w:r>
    </w:p>
  </w:footnote>
  <w:footnote w:id="27">
    <w:p w14:paraId="5AAF829D" w14:textId="62DADE39" w:rsidR="0024268D" w:rsidRDefault="0024268D" w:rsidP="0024268D">
      <w:pPr>
        <w:pStyle w:val="FootnoteText"/>
      </w:pPr>
      <w:r>
        <w:rPr>
          <w:rStyle w:val="FootnoteReference"/>
        </w:rPr>
        <w:footnoteRef/>
      </w:r>
      <w:r>
        <w:t xml:space="preserve"> Document No. 03821-2026, filed June 29, 2026.</w:t>
      </w:r>
    </w:p>
  </w:footnote>
  <w:footnote w:id="28">
    <w:p w14:paraId="6C23B7AF" w14:textId="513200FC" w:rsidR="0024268D" w:rsidRPr="008906AB" w:rsidRDefault="0024268D" w:rsidP="0024268D">
      <w:pPr>
        <w:pStyle w:val="FootnoteText"/>
        <w:rPr>
          <w:i/>
          <w:iCs/>
        </w:rPr>
      </w:pPr>
      <w:r>
        <w:rPr>
          <w:rStyle w:val="FootnoteReference"/>
        </w:rPr>
        <w:footnoteRef/>
      </w:r>
      <w:r>
        <w:t xml:space="preserve"> </w:t>
      </w:r>
      <w:r w:rsidRPr="001176C5">
        <w:rPr>
          <w:i/>
          <w:iCs/>
        </w:rPr>
        <w:t>See</w:t>
      </w:r>
      <w:r>
        <w:t xml:space="preserve"> </w:t>
      </w:r>
      <w:r w:rsidRPr="008906AB">
        <w:t xml:space="preserve">Order No. </w:t>
      </w:r>
      <w:r>
        <w:t xml:space="preserve">PSC-2026-0114-PAA-SU, issued April 27, 2026, in Docket No. 20250084-SU, </w:t>
      </w:r>
      <w:r w:rsidRPr="008906AB">
        <w:rPr>
          <w:i/>
          <w:iCs/>
        </w:rPr>
        <w:t>In re: Application for staff-assisted rate case in</w:t>
      </w:r>
      <w:r>
        <w:rPr>
          <w:i/>
          <w:iCs/>
        </w:rPr>
        <w:t xml:space="preserve"> </w:t>
      </w:r>
      <w:r w:rsidRPr="008906AB">
        <w:rPr>
          <w:i/>
          <w:iCs/>
        </w:rPr>
        <w:t>Orange County, by Gulfstream Utility LLC.</w:t>
      </w:r>
      <w:r>
        <w:rPr>
          <w:i/>
          <w:iCs/>
        </w:rPr>
        <w:t>;</w:t>
      </w:r>
      <w:r w:rsidRPr="008906AB">
        <w:t xml:space="preserve"> </w:t>
      </w:r>
      <w:r>
        <w:t xml:space="preserve">Order No. PSC-2026-0054-PAA-WS, issued February 25, 2026, in Docket No. 20250023-WS, </w:t>
      </w:r>
      <w:r w:rsidRPr="008906AB">
        <w:rPr>
          <w:i/>
          <w:iCs/>
        </w:rPr>
        <w:t>In re: Application for staff-assisted rate case in Polk County, by NC Real Estate Projects, LLC d/b/a Grenelefe Utility</w:t>
      </w:r>
      <w:r w:rsidR="00611C73">
        <w:rPr>
          <w:i/>
          <w:iCs/>
        </w:rPr>
        <w:t>.</w:t>
      </w:r>
    </w:p>
  </w:footnote>
  <w:footnote w:id="29">
    <w:p w14:paraId="5638C6C8" w14:textId="77777777" w:rsidR="002C4F65" w:rsidRDefault="002C4F65" w:rsidP="002C4F65">
      <w:pPr>
        <w:pStyle w:val="FootnoteText"/>
      </w:pPr>
      <w:r>
        <w:rPr>
          <w:rStyle w:val="FootnoteReference"/>
        </w:rPr>
        <w:footnoteRef/>
      </w:r>
      <w:r>
        <w:t xml:space="preserve"> Document No. 01508-2026, filed March 12, 2026.</w:t>
      </w:r>
    </w:p>
  </w:footnote>
  <w:footnote w:id="30">
    <w:p w14:paraId="0260212B" w14:textId="2BF36E59" w:rsidR="005352B0" w:rsidRDefault="005352B0" w:rsidP="005352B0">
      <w:pPr>
        <w:pStyle w:val="FootnoteText"/>
      </w:pPr>
      <w:r>
        <w:rPr>
          <w:rStyle w:val="FootnoteReference"/>
        </w:rPr>
        <w:footnoteRef/>
      </w:r>
      <w:r>
        <w:t xml:space="preserve"> Order No. </w:t>
      </w:r>
      <w:r w:rsidRPr="00BB1EB4">
        <w:t>PSC-</w:t>
      </w:r>
      <w:r w:rsidR="00F60337">
        <w:t>20</w:t>
      </w:r>
      <w:r>
        <w:t>14</w:t>
      </w:r>
      <w:r w:rsidRPr="00BB1EB4">
        <w:t>-</w:t>
      </w:r>
      <w:r>
        <w:t>0018-PAA-</w:t>
      </w:r>
      <w:r w:rsidRPr="00BB1EB4">
        <w:t>WS</w:t>
      </w:r>
      <w:r w:rsidR="000D05DA">
        <w:t>,</w:t>
      </w:r>
      <w:r>
        <w:t xml:space="preserve"> issued January 7, 2014, in Docket No. </w:t>
      </w:r>
      <w:r w:rsidR="00F60337">
        <w:t>20</w:t>
      </w:r>
      <w:r>
        <w:t>130180-WS</w:t>
      </w:r>
      <w:r w:rsidRPr="00214765">
        <w:t>, In re:</w:t>
      </w:r>
      <w:r>
        <w:t xml:space="preserve"> </w:t>
      </w:r>
      <w:r w:rsidRPr="00EC62A3">
        <w:rPr>
          <w:i/>
          <w:iCs/>
        </w:rPr>
        <w:t>Application for original certificates to provide water and wastewater service in Lake County by</w:t>
      </w:r>
      <w:r w:rsidRPr="004F374C">
        <w:rPr>
          <w:i/>
        </w:rPr>
        <w:t xml:space="preserve"> Sunlake Estates Utilities, L.L.C.</w:t>
      </w:r>
    </w:p>
  </w:footnote>
  <w:footnote w:id="31">
    <w:p w14:paraId="5F4A2B66" w14:textId="77777777" w:rsidR="002C4F65" w:rsidRDefault="002C4F65" w:rsidP="002C4F65">
      <w:pPr>
        <w:pStyle w:val="FootnoteText"/>
      </w:pPr>
      <w:r>
        <w:rPr>
          <w:rStyle w:val="FootnoteReference"/>
        </w:rPr>
        <w:footnoteRef/>
      </w:r>
      <w:r>
        <w:t xml:space="preserve"> Staff notes the calculations presented in Table 9-1 may not compute due to rounding.</w:t>
      </w:r>
    </w:p>
  </w:footnote>
  <w:footnote w:id="32">
    <w:p w14:paraId="0163E2BD" w14:textId="789459E5" w:rsidR="004568C9" w:rsidRDefault="004568C9" w:rsidP="004568C9">
      <w:pPr>
        <w:pStyle w:val="FootnoteText"/>
      </w:pPr>
      <w:r>
        <w:rPr>
          <w:rStyle w:val="FootnoteReference"/>
        </w:rPr>
        <w:footnoteRef/>
      </w:r>
      <w:r w:rsidR="008A15F9">
        <w:t xml:space="preserve"> </w:t>
      </w:r>
      <w:hyperlink r:id="rId1" w:anchor="HSD310224" w:history="1">
        <w:r>
          <w:rPr>
            <w:rStyle w:val="Hyperlink"/>
          </w:rPr>
          <w:t>U.S. Census Bureau QuickFacts: Lake County, Florida</w:t>
        </w:r>
      </w:hyperlink>
      <w:r w:rsidR="00E834B1">
        <w:rPr>
          <w:rStyle w:val="Hyperlin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83F3" w14:textId="77777777" w:rsidR="00AD1D97" w:rsidRDefault="00AD1D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2AD1" w14:textId="5A33E0A0"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3-B</w:t>
    </w:r>
  </w:p>
  <w:p w14:paraId="5C006AE3" w14:textId="27F39C27" w:rsidR="001C2DF9" w:rsidRDefault="001C2DF9" w:rsidP="001C2DF9">
    <w:pPr>
      <w:pStyle w:val="Header"/>
    </w:pPr>
    <w:r>
      <w:t xml:space="preserve">Date: </w:t>
    </w:r>
    <w:r w:rsidR="002731E9">
      <w:t>July 2</w:t>
    </w:r>
    <w:r w:rsidR="00087284">
      <w:t>3</w:t>
    </w:r>
    <w:r w:rsidR="002731E9">
      <w:t>, 2026</w:t>
    </w:r>
  </w:p>
  <w:p w14:paraId="62449B18" w14:textId="1A122DD7" w:rsidR="007B3C77" w:rsidRDefault="007B3C77" w:rsidP="001C2DF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AF9D" w14:textId="11D5E53E"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3-B</w:t>
    </w:r>
  </w:p>
  <w:p w14:paraId="2B2A0B41" w14:textId="6F95E5F0" w:rsidR="007B3C77" w:rsidRDefault="001C2DF9" w:rsidP="001C2DF9">
    <w:pPr>
      <w:pStyle w:val="Header"/>
    </w:pPr>
    <w:r>
      <w:t xml:space="preserve">Date: </w:t>
    </w:r>
    <w:r w:rsidR="002731E9">
      <w:t>July 2</w:t>
    </w:r>
    <w:r w:rsidR="00087284">
      <w:t>3</w:t>
    </w:r>
    <w:r w:rsidR="002731E9">
      <w:t>, 2026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275A2" w14:textId="3CFBDE8D"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3-C</w:t>
    </w:r>
  </w:p>
  <w:p w14:paraId="365216BB" w14:textId="3BD5236C" w:rsidR="001C2DF9" w:rsidRDefault="001C2DF9" w:rsidP="001C2DF9">
    <w:pPr>
      <w:pStyle w:val="Header"/>
    </w:pPr>
    <w:r>
      <w:t xml:space="preserve">Date: </w:t>
    </w:r>
    <w:r w:rsidR="002731E9">
      <w:t>July 2</w:t>
    </w:r>
    <w:r w:rsidR="00087284">
      <w:t>3</w:t>
    </w:r>
    <w:r w:rsidR="002731E9">
      <w:t>, 2026</w:t>
    </w:r>
  </w:p>
  <w:p w14:paraId="7B27BE3C" w14:textId="1F4F0A7D" w:rsidR="007B3C77" w:rsidRDefault="007B3C77" w:rsidP="001C2DF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C645" w14:textId="3D566A9E" w:rsidR="007B3C77" w:rsidRDefault="007B3C77" w:rsidP="00220732">
    <w:pPr>
      <w:pStyle w:val="Header"/>
      <w:tabs>
        <w:tab w:val="clear" w:pos="4320"/>
        <w:tab w:val="clear" w:pos="8640"/>
        <w:tab w:val="right" w:pos="9360"/>
      </w:tabs>
    </w:pPr>
    <w:r>
      <w:fldChar w:fldCharType="begin"/>
    </w:r>
    <w:r>
      <w:instrText xml:space="preserve"> REF DocketLabel</w:instrText>
    </w:r>
    <w:r>
      <w:fldChar w:fldCharType="separate"/>
    </w:r>
    <w:r w:rsidR="00AD1D97">
      <w:t>Docket No.</w:t>
    </w:r>
    <w:r>
      <w:fldChar w:fldCharType="end"/>
    </w:r>
    <w:r>
      <w:t xml:space="preserve"> </w:t>
    </w:r>
    <w:r>
      <w:fldChar w:fldCharType="begin"/>
    </w:r>
    <w:r>
      <w:instrText xml:space="preserve"> REF DocketList</w:instrText>
    </w:r>
    <w:r>
      <w:fldChar w:fldCharType="separate"/>
    </w:r>
    <w:r w:rsidR="00AD1D97">
      <w:t>20250108-WS</w:t>
    </w:r>
    <w:r>
      <w:fldChar w:fldCharType="end"/>
    </w:r>
    <w:r>
      <w:tab/>
    </w:r>
    <w:r w:rsidR="00D41BBD">
      <w:t>Schedule No. 4</w:t>
    </w:r>
  </w:p>
  <w:p w14:paraId="402BBDB4" w14:textId="3A789956" w:rsidR="001C2DF9" w:rsidRDefault="001C2DF9" w:rsidP="001C2DF9">
    <w:pPr>
      <w:pStyle w:val="Header"/>
    </w:pPr>
    <w:r>
      <w:t xml:space="preserve">Date: </w:t>
    </w:r>
    <w:r w:rsidR="002731E9">
      <w:t>July 2</w:t>
    </w:r>
    <w:r w:rsidR="00087284">
      <w:t>3</w:t>
    </w:r>
    <w:r w:rsidR="002731E9">
      <w:t>, 2026</w:t>
    </w:r>
  </w:p>
  <w:p w14:paraId="169690EE" w14:textId="77777777" w:rsidR="007B3C77" w:rsidRDefault="007B3C7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2CBF" w14:textId="77777777" w:rsidR="007B3C77" w:rsidRDefault="007B3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0504" w14:textId="77777777" w:rsidR="007B3C77" w:rsidRDefault="007B3C77" w:rsidP="00220732">
    <w:pPr>
      <w:pStyle w:val="Header"/>
      <w:tabs>
        <w:tab w:val="clear" w:pos="4320"/>
        <w:tab w:val="clear" w:pos="8640"/>
        <w:tab w:val="right" w:pos="9360"/>
      </w:tabs>
    </w:pPr>
    <w:bookmarkStart w:id="11" w:name="DocketLabel"/>
    <w:r>
      <w:t>Docket No.</w:t>
    </w:r>
    <w:bookmarkEnd w:id="11"/>
    <w:r>
      <w:t xml:space="preserve"> </w:t>
    </w:r>
    <w:bookmarkStart w:id="12" w:name="DocketList"/>
    <w:r>
      <w:t>20250108-WS</w:t>
    </w:r>
    <w:bookmarkEnd w:id="12"/>
  </w:p>
  <w:p w14:paraId="301C24D3" w14:textId="1A5B8360" w:rsidR="007B3C77" w:rsidRDefault="007B3C77">
    <w:pPr>
      <w:pStyle w:val="Header"/>
    </w:pPr>
    <w:r>
      <w:t xml:space="preserve">Date: </w:t>
    </w:r>
    <w:r w:rsidR="00087284">
      <w:t>July 23</w:t>
    </w:r>
    <w:r w:rsidR="002731E9">
      <w:t>, 2026</w:t>
    </w:r>
  </w:p>
  <w:p w14:paraId="42BD793C" w14:textId="77777777" w:rsidR="007B3C77" w:rsidRDefault="007B3C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7A03" w14:textId="77777777" w:rsidR="00AD1D97" w:rsidRDefault="00AD1D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60EE" w14:textId="17365409"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 xml:space="preserve">Issue </w:t>
    </w:r>
    <w:r w:rsidR="004B6CC0">
      <w:fldChar w:fldCharType="begin"/>
    </w:r>
    <w:r w:rsidR="004B6CC0">
      <w:instrText xml:space="preserve"> Seq Issue \c \* Arabic </w:instrText>
    </w:r>
    <w:r w:rsidR="004B6CC0">
      <w:fldChar w:fldCharType="separate"/>
    </w:r>
    <w:r>
      <w:rPr>
        <w:noProof/>
      </w:rPr>
      <w:t>0</w:t>
    </w:r>
    <w:r w:rsidR="004B6CC0">
      <w:rPr>
        <w:noProof/>
      </w:rPr>
      <w:fldChar w:fldCharType="end"/>
    </w:r>
  </w:p>
  <w:p w14:paraId="390E7F33" w14:textId="02949D3F" w:rsidR="007B3C77" w:rsidRDefault="001C2DF9" w:rsidP="001C2DF9">
    <w:pPr>
      <w:pStyle w:val="Header"/>
    </w:pPr>
    <w:r>
      <w:t xml:space="preserve">Date: </w:t>
    </w:r>
    <w:r w:rsidR="002731E9">
      <w:t>July 2</w:t>
    </w:r>
    <w:r w:rsidR="00087284">
      <w:t>3</w:t>
    </w:r>
    <w:r w:rsidR="002731E9">
      <w:t>,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564D2" w14:textId="77777777" w:rsidR="007B3C77" w:rsidRDefault="007B3C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C12D" w14:textId="558BB39C"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1-A</w:t>
    </w:r>
  </w:p>
  <w:p w14:paraId="19A1F173" w14:textId="03594E05" w:rsidR="001C2DF9" w:rsidRDefault="001C2DF9" w:rsidP="001C2DF9">
    <w:pPr>
      <w:pStyle w:val="Header"/>
    </w:pPr>
    <w:r>
      <w:t xml:space="preserve">Date: </w:t>
    </w:r>
    <w:r w:rsidR="002731E9">
      <w:t>July 2</w:t>
    </w:r>
    <w:r w:rsidR="00087284">
      <w:t>3</w:t>
    </w:r>
    <w:r w:rsidR="002731E9">
      <w:t>, 2026</w:t>
    </w:r>
  </w:p>
  <w:p w14:paraId="1785AD19" w14:textId="697A7330" w:rsidR="007B3C77" w:rsidRDefault="007B3C77" w:rsidP="001C2D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935F" w14:textId="4ADBE3D6"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1-B</w:t>
    </w:r>
  </w:p>
  <w:p w14:paraId="7D489265" w14:textId="4B8DF9A3" w:rsidR="001C2DF9" w:rsidRDefault="001C2DF9" w:rsidP="001C2DF9">
    <w:pPr>
      <w:pStyle w:val="Header"/>
    </w:pPr>
    <w:r>
      <w:t xml:space="preserve">Date: </w:t>
    </w:r>
    <w:r w:rsidR="002731E9">
      <w:t>July 2</w:t>
    </w:r>
    <w:r w:rsidR="00087284">
      <w:t>3</w:t>
    </w:r>
    <w:r w:rsidR="002731E9">
      <w:t>, 2026</w:t>
    </w:r>
  </w:p>
  <w:p w14:paraId="73B56FB6" w14:textId="7E32C8A6" w:rsidR="007B3C77" w:rsidRDefault="007B3C77" w:rsidP="001C2DF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2271" w14:textId="3D2C7A97"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2</w:t>
    </w:r>
  </w:p>
  <w:p w14:paraId="21D47EDF" w14:textId="5B6C2B38" w:rsidR="001C2DF9" w:rsidRDefault="001C2DF9" w:rsidP="001C2DF9">
    <w:pPr>
      <w:pStyle w:val="Header"/>
    </w:pPr>
    <w:r>
      <w:t xml:space="preserve">Date: </w:t>
    </w:r>
    <w:r w:rsidR="002731E9">
      <w:t>July 2</w:t>
    </w:r>
    <w:r w:rsidR="00087284">
      <w:t>3</w:t>
    </w:r>
    <w:r w:rsidR="002731E9">
      <w:t>, 2026</w:t>
    </w:r>
  </w:p>
  <w:p w14:paraId="1393F975" w14:textId="5EBA0812" w:rsidR="007B3C77" w:rsidRDefault="007B3C77" w:rsidP="001C2DF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885A" w14:textId="13EFE4D3" w:rsidR="007B3C77" w:rsidRDefault="00AD1D97" w:rsidP="00220732">
    <w:pPr>
      <w:pStyle w:val="Header"/>
      <w:tabs>
        <w:tab w:val="clear" w:pos="4320"/>
        <w:tab w:val="clear" w:pos="8640"/>
        <w:tab w:val="right" w:pos="9360"/>
      </w:tabs>
    </w:pPr>
    <w:r>
      <w:fldChar w:fldCharType="begin"/>
    </w:r>
    <w:r>
      <w:instrText xml:space="preserve"> REF DocketLabel \* MERGEFORMAT </w:instrText>
    </w:r>
    <w:r>
      <w:fldChar w:fldCharType="separate"/>
    </w:r>
    <w:r>
      <w:t>Docket No.</w:t>
    </w:r>
    <w:r>
      <w:fldChar w:fldCharType="end"/>
    </w:r>
    <w:r w:rsidR="007B3C77">
      <w:t xml:space="preserve"> </w:t>
    </w:r>
    <w:r>
      <w:fldChar w:fldCharType="begin"/>
    </w:r>
    <w:r>
      <w:instrText xml:space="preserve"> REF DocketList \* MERGEFORMAT </w:instrText>
    </w:r>
    <w:r>
      <w:fldChar w:fldCharType="separate"/>
    </w:r>
    <w:r>
      <w:t>20250108-WS</w:t>
    </w:r>
    <w:r>
      <w:fldChar w:fldCharType="end"/>
    </w:r>
    <w:r w:rsidR="007B3C77">
      <w:tab/>
      <w:t>Schedule No. 3-A</w:t>
    </w:r>
  </w:p>
  <w:p w14:paraId="0C862C79" w14:textId="61ECD8F8" w:rsidR="001C2DF9" w:rsidRDefault="001C2DF9" w:rsidP="001C2DF9">
    <w:pPr>
      <w:pStyle w:val="Header"/>
    </w:pPr>
    <w:r>
      <w:t xml:space="preserve">Date: </w:t>
    </w:r>
    <w:r w:rsidR="002731E9">
      <w:t>July 2</w:t>
    </w:r>
    <w:r w:rsidR="00087284">
      <w:t>3</w:t>
    </w:r>
    <w:r w:rsidR="002731E9">
      <w:t>, 2026</w:t>
    </w:r>
  </w:p>
  <w:p w14:paraId="4566C9EC" w14:textId="7809015C" w:rsidR="007B3C77" w:rsidRDefault="007B3C77" w:rsidP="001C2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7E7C79"/>
    <w:multiLevelType w:val="hybridMultilevel"/>
    <w:tmpl w:val="FE384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4032064">
    <w:abstractNumId w:val="9"/>
  </w:num>
  <w:num w:numId="2" w16cid:durableId="1722556458">
    <w:abstractNumId w:val="7"/>
  </w:num>
  <w:num w:numId="3" w16cid:durableId="393282244">
    <w:abstractNumId w:val="6"/>
  </w:num>
  <w:num w:numId="4" w16cid:durableId="1025711397">
    <w:abstractNumId w:val="5"/>
  </w:num>
  <w:num w:numId="5" w16cid:durableId="1749226219">
    <w:abstractNumId w:val="4"/>
  </w:num>
  <w:num w:numId="6" w16cid:durableId="230622797">
    <w:abstractNumId w:val="8"/>
  </w:num>
  <w:num w:numId="7" w16cid:durableId="459570328">
    <w:abstractNumId w:val="3"/>
  </w:num>
  <w:num w:numId="8" w16cid:durableId="179585482">
    <w:abstractNumId w:val="2"/>
  </w:num>
  <w:num w:numId="9" w16cid:durableId="1280064615">
    <w:abstractNumId w:val="1"/>
  </w:num>
  <w:num w:numId="10" w16cid:durableId="1805846419">
    <w:abstractNumId w:val="0"/>
  </w:num>
  <w:num w:numId="11" w16cid:durableId="648703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555E72"/>
    <w:rsid w:val="000043D5"/>
    <w:rsid w:val="00004B18"/>
    <w:rsid w:val="000057F0"/>
    <w:rsid w:val="00006170"/>
    <w:rsid w:val="00010E37"/>
    <w:rsid w:val="000138D5"/>
    <w:rsid w:val="00016C7B"/>
    <w:rsid w:val="000172DA"/>
    <w:rsid w:val="00022008"/>
    <w:rsid w:val="00022337"/>
    <w:rsid w:val="00023A0E"/>
    <w:rsid w:val="000247C5"/>
    <w:rsid w:val="00025027"/>
    <w:rsid w:val="00026A10"/>
    <w:rsid w:val="00026EDC"/>
    <w:rsid w:val="000277C2"/>
    <w:rsid w:val="00030958"/>
    <w:rsid w:val="00031E9B"/>
    <w:rsid w:val="00034BB3"/>
    <w:rsid w:val="00035B48"/>
    <w:rsid w:val="00036CE2"/>
    <w:rsid w:val="00037668"/>
    <w:rsid w:val="000421EA"/>
    <w:rsid w:val="000437FE"/>
    <w:rsid w:val="00044EE4"/>
    <w:rsid w:val="000513BE"/>
    <w:rsid w:val="0005147B"/>
    <w:rsid w:val="00051573"/>
    <w:rsid w:val="0005280C"/>
    <w:rsid w:val="00053174"/>
    <w:rsid w:val="0005451B"/>
    <w:rsid w:val="000572C5"/>
    <w:rsid w:val="000620A1"/>
    <w:rsid w:val="00062140"/>
    <w:rsid w:val="00064C3C"/>
    <w:rsid w:val="00065A06"/>
    <w:rsid w:val="000662C7"/>
    <w:rsid w:val="000666F3"/>
    <w:rsid w:val="00066A5E"/>
    <w:rsid w:val="00066C79"/>
    <w:rsid w:val="00070DCB"/>
    <w:rsid w:val="00072CCA"/>
    <w:rsid w:val="00073120"/>
    <w:rsid w:val="000752B0"/>
    <w:rsid w:val="000764D0"/>
    <w:rsid w:val="00077CCC"/>
    <w:rsid w:val="000828D3"/>
    <w:rsid w:val="000858F5"/>
    <w:rsid w:val="00086203"/>
    <w:rsid w:val="00087284"/>
    <w:rsid w:val="00087A0E"/>
    <w:rsid w:val="00090DB4"/>
    <w:rsid w:val="00095038"/>
    <w:rsid w:val="0009612D"/>
    <w:rsid w:val="0009745A"/>
    <w:rsid w:val="00097804"/>
    <w:rsid w:val="000979A4"/>
    <w:rsid w:val="000A0E0B"/>
    <w:rsid w:val="000A2B57"/>
    <w:rsid w:val="000A418B"/>
    <w:rsid w:val="000A4CB9"/>
    <w:rsid w:val="000A50D0"/>
    <w:rsid w:val="000A50D5"/>
    <w:rsid w:val="000B0ACE"/>
    <w:rsid w:val="000B0DE9"/>
    <w:rsid w:val="000B47C8"/>
    <w:rsid w:val="000B60D3"/>
    <w:rsid w:val="000C2894"/>
    <w:rsid w:val="000C34E6"/>
    <w:rsid w:val="000C4431"/>
    <w:rsid w:val="000C4821"/>
    <w:rsid w:val="000C5435"/>
    <w:rsid w:val="000C6607"/>
    <w:rsid w:val="000C6975"/>
    <w:rsid w:val="000C78A6"/>
    <w:rsid w:val="000C7E66"/>
    <w:rsid w:val="000D05DA"/>
    <w:rsid w:val="000D1C06"/>
    <w:rsid w:val="000D3043"/>
    <w:rsid w:val="000D4319"/>
    <w:rsid w:val="000D4831"/>
    <w:rsid w:val="000E1B1A"/>
    <w:rsid w:val="000E24FA"/>
    <w:rsid w:val="000E338A"/>
    <w:rsid w:val="000E4392"/>
    <w:rsid w:val="000E620E"/>
    <w:rsid w:val="000F05CD"/>
    <w:rsid w:val="000F1131"/>
    <w:rsid w:val="000F244D"/>
    <w:rsid w:val="000F374A"/>
    <w:rsid w:val="000F4DAF"/>
    <w:rsid w:val="000F53C1"/>
    <w:rsid w:val="000F7BCC"/>
    <w:rsid w:val="00105BA1"/>
    <w:rsid w:val="001066FE"/>
    <w:rsid w:val="001076AF"/>
    <w:rsid w:val="00107DEB"/>
    <w:rsid w:val="001109F6"/>
    <w:rsid w:val="00116C6B"/>
    <w:rsid w:val="00117014"/>
    <w:rsid w:val="001176C5"/>
    <w:rsid w:val="00117C8C"/>
    <w:rsid w:val="0012290A"/>
    <w:rsid w:val="001239F0"/>
    <w:rsid w:val="00124C38"/>
    <w:rsid w:val="00124E2E"/>
    <w:rsid w:val="00125ED4"/>
    <w:rsid w:val="001266D8"/>
    <w:rsid w:val="00127E1E"/>
    <w:rsid w:val="001303BF"/>
    <w:rsid w:val="001305E9"/>
    <w:rsid w:val="001307AF"/>
    <w:rsid w:val="0013312D"/>
    <w:rsid w:val="0013347E"/>
    <w:rsid w:val="00135687"/>
    <w:rsid w:val="00136335"/>
    <w:rsid w:val="00136BD1"/>
    <w:rsid w:val="00141E8D"/>
    <w:rsid w:val="00143CB9"/>
    <w:rsid w:val="00146330"/>
    <w:rsid w:val="00146B5D"/>
    <w:rsid w:val="00150ECE"/>
    <w:rsid w:val="0015506E"/>
    <w:rsid w:val="001555E2"/>
    <w:rsid w:val="00157CCC"/>
    <w:rsid w:val="00161BCD"/>
    <w:rsid w:val="00163031"/>
    <w:rsid w:val="0016452E"/>
    <w:rsid w:val="001654C4"/>
    <w:rsid w:val="0016656D"/>
    <w:rsid w:val="0016701C"/>
    <w:rsid w:val="001679B5"/>
    <w:rsid w:val="00171A90"/>
    <w:rsid w:val="00172227"/>
    <w:rsid w:val="0017571C"/>
    <w:rsid w:val="001766E6"/>
    <w:rsid w:val="00176D70"/>
    <w:rsid w:val="00180254"/>
    <w:rsid w:val="00182189"/>
    <w:rsid w:val="00183189"/>
    <w:rsid w:val="0018358D"/>
    <w:rsid w:val="00183F0B"/>
    <w:rsid w:val="00184EDA"/>
    <w:rsid w:val="00186FA9"/>
    <w:rsid w:val="001918F3"/>
    <w:rsid w:val="00191E1F"/>
    <w:rsid w:val="00191EE8"/>
    <w:rsid w:val="00192943"/>
    <w:rsid w:val="00192F17"/>
    <w:rsid w:val="00193BAF"/>
    <w:rsid w:val="00194791"/>
    <w:rsid w:val="00195336"/>
    <w:rsid w:val="00196EE1"/>
    <w:rsid w:val="00197A5C"/>
    <w:rsid w:val="001A206F"/>
    <w:rsid w:val="001A702B"/>
    <w:rsid w:val="001A7406"/>
    <w:rsid w:val="001A7AE4"/>
    <w:rsid w:val="001B1EDC"/>
    <w:rsid w:val="001B2E32"/>
    <w:rsid w:val="001B4053"/>
    <w:rsid w:val="001B4FEE"/>
    <w:rsid w:val="001B51C5"/>
    <w:rsid w:val="001B672A"/>
    <w:rsid w:val="001B6F3F"/>
    <w:rsid w:val="001B7C73"/>
    <w:rsid w:val="001C1269"/>
    <w:rsid w:val="001C13F4"/>
    <w:rsid w:val="001C27EE"/>
    <w:rsid w:val="001C2C42"/>
    <w:rsid w:val="001C2DF9"/>
    <w:rsid w:val="001C52B5"/>
    <w:rsid w:val="001C777D"/>
    <w:rsid w:val="001D0D3E"/>
    <w:rsid w:val="001D0DF1"/>
    <w:rsid w:val="001D2817"/>
    <w:rsid w:val="001D2899"/>
    <w:rsid w:val="001D7288"/>
    <w:rsid w:val="001E14A3"/>
    <w:rsid w:val="001E1B7C"/>
    <w:rsid w:val="001E24BA"/>
    <w:rsid w:val="001E390F"/>
    <w:rsid w:val="001E57EC"/>
    <w:rsid w:val="001E6F1C"/>
    <w:rsid w:val="001E71FA"/>
    <w:rsid w:val="001E7FF4"/>
    <w:rsid w:val="001F0A9B"/>
    <w:rsid w:val="001F2245"/>
    <w:rsid w:val="001F2C63"/>
    <w:rsid w:val="001F3D65"/>
    <w:rsid w:val="001F48C7"/>
    <w:rsid w:val="001F6DA1"/>
    <w:rsid w:val="001F6FD5"/>
    <w:rsid w:val="00200178"/>
    <w:rsid w:val="00203206"/>
    <w:rsid w:val="00204200"/>
    <w:rsid w:val="002044E6"/>
    <w:rsid w:val="00205C82"/>
    <w:rsid w:val="00205DC2"/>
    <w:rsid w:val="00205EC1"/>
    <w:rsid w:val="00207493"/>
    <w:rsid w:val="0020777A"/>
    <w:rsid w:val="00207889"/>
    <w:rsid w:val="002123E4"/>
    <w:rsid w:val="00212B17"/>
    <w:rsid w:val="00213311"/>
    <w:rsid w:val="00215417"/>
    <w:rsid w:val="002163B6"/>
    <w:rsid w:val="00217215"/>
    <w:rsid w:val="00220732"/>
    <w:rsid w:val="00221095"/>
    <w:rsid w:val="0022121F"/>
    <w:rsid w:val="00221D32"/>
    <w:rsid w:val="0022219D"/>
    <w:rsid w:val="00222AC1"/>
    <w:rsid w:val="002254E2"/>
    <w:rsid w:val="00225C3F"/>
    <w:rsid w:val="00226ED6"/>
    <w:rsid w:val="00230910"/>
    <w:rsid w:val="002314ED"/>
    <w:rsid w:val="00231BEA"/>
    <w:rsid w:val="00231D11"/>
    <w:rsid w:val="00240DB7"/>
    <w:rsid w:val="0024268D"/>
    <w:rsid w:val="00246E5F"/>
    <w:rsid w:val="00251187"/>
    <w:rsid w:val="0025163A"/>
    <w:rsid w:val="00252C6A"/>
    <w:rsid w:val="0025460D"/>
    <w:rsid w:val="00256DE4"/>
    <w:rsid w:val="002572CB"/>
    <w:rsid w:val="00263D44"/>
    <w:rsid w:val="00265146"/>
    <w:rsid w:val="00265CD4"/>
    <w:rsid w:val="002702AD"/>
    <w:rsid w:val="002731E9"/>
    <w:rsid w:val="00274114"/>
    <w:rsid w:val="00274504"/>
    <w:rsid w:val="0027502C"/>
    <w:rsid w:val="002767DE"/>
    <w:rsid w:val="00276BC8"/>
    <w:rsid w:val="002778C9"/>
    <w:rsid w:val="00281EB4"/>
    <w:rsid w:val="0028479A"/>
    <w:rsid w:val="00284B04"/>
    <w:rsid w:val="002858DC"/>
    <w:rsid w:val="0028724F"/>
    <w:rsid w:val="0028727D"/>
    <w:rsid w:val="00287AB9"/>
    <w:rsid w:val="0029036F"/>
    <w:rsid w:val="00292664"/>
    <w:rsid w:val="00292D82"/>
    <w:rsid w:val="00293EE7"/>
    <w:rsid w:val="002941AB"/>
    <w:rsid w:val="00294AC2"/>
    <w:rsid w:val="002963CB"/>
    <w:rsid w:val="00297E23"/>
    <w:rsid w:val="002A1A42"/>
    <w:rsid w:val="002A2EC6"/>
    <w:rsid w:val="002A450F"/>
    <w:rsid w:val="002A5B1E"/>
    <w:rsid w:val="002B2DAC"/>
    <w:rsid w:val="002B3BA8"/>
    <w:rsid w:val="002B4A01"/>
    <w:rsid w:val="002C291B"/>
    <w:rsid w:val="002C2FC8"/>
    <w:rsid w:val="002C3C93"/>
    <w:rsid w:val="002C4F65"/>
    <w:rsid w:val="002C746A"/>
    <w:rsid w:val="002C7E4E"/>
    <w:rsid w:val="002D16DB"/>
    <w:rsid w:val="002D226D"/>
    <w:rsid w:val="002D3214"/>
    <w:rsid w:val="002D41F6"/>
    <w:rsid w:val="002D6155"/>
    <w:rsid w:val="002D74E3"/>
    <w:rsid w:val="002E1FBC"/>
    <w:rsid w:val="002E3262"/>
    <w:rsid w:val="002E7C4E"/>
    <w:rsid w:val="002F02A4"/>
    <w:rsid w:val="002F3F4F"/>
    <w:rsid w:val="002F40AA"/>
    <w:rsid w:val="002F6030"/>
    <w:rsid w:val="002F6098"/>
    <w:rsid w:val="003001AC"/>
    <w:rsid w:val="00302CEC"/>
    <w:rsid w:val="003037E1"/>
    <w:rsid w:val="00307E51"/>
    <w:rsid w:val="00310076"/>
    <w:rsid w:val="003103EC"/>
    <w:rsid w:val="00312132"/>
    <w:rsid w:val="0031273F"/>
    <w:rsid w:val="003130BA"/>
    <w:rsid w:val="0031374D"/>
    <w:rsid w:val="003144EF"/>
    <w:rsid w:val="0031480E"/>
    <w:rsid w:val="00314D0A"/>
    <w:rsid w:val="00316877"/>
    <w:rsid w:val="00317B13"/>
    <w:rsid w:val="00321857"/>
    <w:rsid w:val="00321C2D"/>
    <w:rsid w:val="00322F74"/>
    <w:rsid w:val="00324C95"/>
    <w:rsid w:val="00325E15"/>
    <w:rsid w:val="0032697F"/>
    <w:rsid w:val="00332191"/>
    <w:rsid w:val="003321FB"/>
    <w:rsid w:val="00335116"/>
    <w:rsid w:val="00335C7F"/>
    <w:rsid w:val="003361D6"/>
    <w:rsid w:val="00340073"/>
    <w:rsid w:val="003411D8"/>
    <w:rsid w:val="0034192C"/>
    <w:rsid w:val="00342C85"/>
    <w:rsid w:val="0034410C"/>
    <w:rsid w:val="003445B0"/>
    <w:rsid w:val="00350EE5"/>
    <w:rsid w:val="00350FDC"/>
    <w:rsid w:val="00353B66"/>
    <w:rsid w:val="00355393"/>
    <w:rsid w:val="00355934"/>
    <w:rsid w:val="0035698B"/>
    <w:rsid w:val="00357928"/>
    <w:rsid w:val="0036010E"/>
    <w:rsid w:val="0036019A"/>
    <w:rsid w:val="00360C5C"/>
    <w:rsid w:val="0036117B"/>
    <w:rsid w:val="00362689"/>
    <w:rsid w:val="00362BFA"/>
    <w:rsid w:val="00362EE1"/>
    <w:rsid w:val="003632FD"/>
    <w:rsid w:val="003667C2"/>
    <w:rsid w:val="00366EFD"/>
    <w:rsid w:val="00367338"/>
    <w:rsid w:val="00370F78"/>
    <w:rsid w:val="00372805"/>
    <w:rsid w:val="00372B0C"/>
    <w:rsid w:val="00373180"/>
    <w:rsid w:val="00373C79"/>
    <w:rsid w:val="00375AB9"/>
    <w:rsid w:val="00376343"/>
    <w:rsid w:val="0037691E"/>
    <w:rsid w:val="00381AAA"/>
    <w:rsid w:val="00381E95"/>
    <w:rsid w:val="003821A0"/>
    <w:rsid w:val="00385B04"/>
    <w:rsid w:val="003864CF"/>
    <w:rsid w:val="003948AE"/>
    <w:rsid w:val="00394AA3"/>
    <w:rsid w:val="0039744C"/>
    <w:rsid w:val="003A08C0"/>
    <w:rsid w:val="003A1A05"/>
    <w:rsid w:val="003A21E5"/>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C5433"/>
    <w:rsid w:val="003C7511"/>
    <w:rsid w:val="003D1E71"/>
    <w:rsid w:val="003D36FE"/>
    <w:rsid w:val="003D679E"/>
    <w:rsid w:val="003D6CB8"/>
    <w:rsid w:val="003E0463"/>
    <w:rsid w:val="003E0E35"/>
    <w:rsid w:val="003E0EFC"/>
    <w:rsid w:val="003E1286"/>
    <w:rsid w:val="003E4A2B"/>
    <w:rsid w:val="003E57F6"/>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118F"/>
    <w:rsid w:val="0041204B"/>
    <w:rsid w:val="00412DAE"/>
    <w:rsid w:val="0041302D"/>
    <w:rsid w:val="00414323"/>
    <w:rsid w:val="0041464A"/>
    <w:rsid w:val="004242E6"/>
    <w:rsid w:val="00427B35"/>
    <w:rsid w:val="00431598"/>
    <w:rsid w:val="004319AD"/>
    <w:rsid w:val="004329D1"/>
    <w:rsid w:val="0043346D"/>
    <w:rsid w:val="00434DE8"/>
    <w:rsid w:val="00435F85"/>
    <w:rsid w:val="00435FD8"/>
    <w:rsid w:val="00436240"/>
    <w:rsid w:val="0043702C"/>
    <w:rsid w:val="0043744A"/>
    <w:rsid w:val="0044069C"/>
    <w:rsid w:val="00441B7F"/>
    <w:rsid w:val="004426B8"/>
    <w:rsid w:val="00444432"/>
    <w:rsid w:val="00447D5C"/>
    <w:rsid w:val="00450202"/>
    <w:rsid w:val="004502B2"/>
    <w:rsid w:val="004514A4"/>
    <w:rsid w:val="00451814"/>
    <w:rsid w:val="00452913"/>
    <w:rsid w:val="00455499"/>
    <w:rsid w:val="0045578D"/>
    <w:rsid w:val="00455D5E"/>
    <w:rsid w:val="004568C9"/>
    <w:rsid w:val="00461B6C"/>
    <w:rsid w:val="0046310F"/>
    <w:rsid w:val="004633F6"/>
    <w:rsid w:val="004649A7"/>
    <w:rsid w:val="00465681"/>
    <w:rsid w:val="00466221"/>
    <w:rsid w:val="00467DBC"/>
    <w:rsid w:val="00471860"/>
    <w:rsid w:val="00471DFE"/>
    <w:rsid w:val="0047246B"/>
    <w:rsid w:val="004736AB"/>
    <w:rsid w:val="0047515A"/>
    <w:rsid w:val="00477026"/>
    <w:rsid w:val="00477730"/>
    <w:rsid w:val="00485537"/>
    <w:rsid w:val="00485C31"/>
    <w:rsid w:val="00486441"/>
    <w:rsid w:val="00490968"/>
    <w:rsid w:val="00491C5F"/>
    <w:rsid w:val="00491CB5"/>
    <w:rsid w:val="00497BCC"/>
    <w:rsid w:val="004A1D29"/>
    <w:rsid w:val="004A1E09"/>
    <w:rsid w:val="004A2B11"/>
    <w:rsid w:val="004A43DB"/>
    <w:rsid w:val="004A744D"/>
    <w:rsid w:val="004B1491"/>
    <w:rsid w:val="004B60BD"/>
    <w:rsid w:val="004B6A20"/>
    <w:rsid w:val="004B6CC0"/>
    <w:rsid w:val="004C1A28"/>
    <w:rsid w:val="004C3150"/>
    <w:rsid w:val="004C3641"/>
    <w:rsid w:val="004C3873"/>
    <w:rsid w:val="004C4390"/>
    <w:rsid w:val="004C473B"/>
    <w:rsid w:val="004C4AF7"/>
    <w:rsid w:val="004C59B9"/>
    <w:rsid w:val="004C7501"/>
    <w:rsid w:val="004D020C"/>
    <w:rsid w:val="004D2881"/>
    <w:rsid w:val="004D2D7D"/>
    <w:rsid w:val="004D385F"/>
    <w:rsid w:val="004D3C84"/>
    <w:rsid w:val="004D592D"/>
    <w:rsid w:val="004D5B39"/>
    <w:rsid w:val="004D7976"/>
    <w:rsid w:val="004E0CEA"/>
    <w:rsid w:val="004E330D"/>
    <w:rsid w:val="004E4985"/>
    <w:rsid w:val="004E5147"/>
    <w:rsid w:val="004E69B5"/>
    <w:rsid w:val="004E7629"/>
    <w:rsid w:val="004F150F"/>
    <w:rsid w:val="004F50D1"/>
    <w:rsid w:val="004F5164"/>
    <w:rsid w:val="004F5C43"/>
    <w:rsid w:val="00501402"/>
    <w:rsid w:val="00501F02"/>
    <w:rsid w:val="00502909"/>
    <w:rsid w:val="00504136"/>
    <w:rsid w:val="00504EAC"/>
    <w:rsid w:val="005050A2"/>
    <w:rsid w:val="00505AF8"/>
    <w:rsid w:val="00506030"/>
    <w:rsid w:val="0050620E"/>
    <w:rsid w:val="0050652D"/>
    <w:rsid w:val="00506C03"/>
    <w:rsid w:val="0050770A"/>
    <w:rsid w:val="00511A11"/>
    <w:rsid w:val="005128FD"/>
    <w:rsid w:val="00514436"/>
    <w:rsid w:val="00516496"/>
    <w:rsid w:val="0051682A"/>
    <w:rsid w:val="005178E9"/>
    <w:rsid w:val="00522A52"/>
    <w:rsid w:val="00522E7D"/>
    <w:rsid w:val="00523B11"/>
    <w:rsid w:val="0052455B"/>
    <w:rsid w:val="00524C43"/>
    <w:rsid w:val="005255B4"/>
    <w:rsid w:val="0052572A"/>
    <w:rsid w:val="005268D3"/>
    <w:rsid w:val="0053001E"/>
    <w:rsid w:val="00532DFB"/>
    <w:rsid w:val="00534473"/>
    <w:rsid w:val="00534DCF"/>
    <w:rsid w:val="005352B0"/>
    <w:rsid w:val="005415C7"/>
    <w:rsid w:val="00543CB3"/>
    <w:rsid w:val="005442E4"/>
    <w:rsid w:val="00544C77"/>
    <w:rsid w:val="00545997"/>
    <w:rsid w:val="00545D3C"/>
    <w:rsid w:val="00545D49"/>
    <w:rsid w:val="00547652"/>
    <w:rsid w:val="00547C75"/>
    <w:rsid w:val="00550706"/>
    <w:rsid w:val="005515BF"/>
    <w:rsid w:val="005529D4"/>
    <w:rsid w:val="00553885"/>
    <w:rsid w:val="0055529B"/>
    <w:rsid w:val="00555E72"/>
    <w:rsid w:val="00560FF0"/>
    <w:rsid w:val="00561111"/>
    <w:rsid w:val="005614BD"/>
    <w:rsid w:val="00561FE2"/>
    <w:rsid w:val="00562F3D"/>
    <w:rsid w:val="0057154F"/>
    <w:rsid w:val="005727A5"/>
    <w:rsid w:val="00574BB9"/>
    <w:rsid w:val="00576F63"/>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014B"/>
    <w:rsid w:val="005B0EF2"/>
    <w:rsid w:val="005B34B6"/>
    <w:rsid w:val="005B3FBB"/>
    <w:rsid w:val="005B59B3"/>
    <w:rsid w:val="005B606A"/>
    <w:rsid w:val="005B6C8F"/>
    <w:rsid w:val="005B6EC3"/>
    <w:rsid w:val="005B7E23"/>
    <w:rsid w:val="005C17D7"/>
    <w:rsid w:val="005C33BE"/>
    <w:rsid w:val="005C33CE"/>
    <w:rsid w:val="005C51D5"/>
    <w:rsid w:val="005C5F7D"/>
    <w:rsid w:val="005C6C4A"/>
    <w:rsid w:val="005D0C0E"/>
    <w:rsid w:val="005D0F74"/>
    <w:rsid w:val="005D110A"/>
    <w:rsid w:val="005D19FE"/>
    <w:rsid w:val="005D1C44"/>
    <w:rsid w:val="005D2E7D"/>
    <w:rsid w:val="005D4A8F"/>
    <w:rsid w:val="005D561B"/>
    <w:rsid w:val="005D578F"/>
    <w:rsid w:val="005D5ECF"/>
    <w:rsid w:val="005D792B"/>
    <w:rsid w:val="005E24C1"/>
    <w:rsid w:val="005E2AB6"/>
    <w:rsid w:val="005E572A"/>
    <w:rsid w:val="005E6D24"/>
    <w:rsid w:val="005E7730"/>
    <w:rsid w:val="005E7E8E"/>
    <w:rsid w:val="005F2422"/>
    <w:rsid w:val="005F4159"/>
    <w:rsid w:val="005F468D"/>
    <w:rsid w:val="005F5371"/>
    <w:rsid w:val="005F5556"/>
    <w:rsid w:val="005F69A3"/>
    <w:rsid w:val="0060226A"/>
    <w:rsid w:val="00604CC7"/>
    <w:rsid w:val="00605914"/>
    <w:rsid w:val="006065E5"/>
    <w:rsid w:val="00611C73"/>
    <w:rsid w:val="0061206E"/>
    <w:rsid w:val="00613441"/>
    <w:rsid w:val="006147F2"/>
    <w:rsid w:val="00615423"/>
    <w:rsid w:val="006165B2"/>
    <w:rsid w:val="00617276"/>
    <w:rsid w:val="0062271A"/>
    <w:rsid w:val="0062527B"/>
    <w:rsid w:val="00625D97"/>
    <w:rsid w:val="00625F1C"/>
    <w:rsid w:val="0062658E"/>
    <w:rsid w:val="00626640"/>
    <w:rsid w:val="0062665D"/>
    <w:rsid w:val="0062681D"/>
    <w:rsid w:val="006279E1"/>
    <w:rsid w:val="00630CEB"/>
    <w:rsid w:val="006321D4"/>
    <w:rsid w:val="00632264"/>
    <w:rsid w:val="006355F2"/>
    <w:rsid w:val="006372A1"/>
    <w:rsid w:val="00637308"/>
    <w:rsid w:val="006470BC"/>
    <w:rsid w:val="00654137"/>
    <w:rsid w:val="006554D3"/>
    <w:rsid w:val="00656302"/>
    <w:rsid w:val="00657BAA"/>
    <w:rsid w:val="006603F4"/>
    <w:rsid w:val="00661708"/>
    <w:rsid w:val="00666522"/>
    <w:rsid w:val="00667036"/>
    <w:rsid w:val="00667B89"/>
    <w:rsid w:val="0067104F"/>
    <w:rsid w:val="0067228E"/>
    <w:rsid w:val="00672452"/>
    <w:rsid w:val="00673BDB"/>
    <w:rsid w:val="00673F3D"/>
    <w:rsid w:val="00674341"/>
    <w:rsid w:val="006771B8"/>
    <w:rsid w:val="00682631"/>
    <w:rsid w:val="00683A89"/>
    <w:rsid w:val="006843B6"/>
    <w:rsid w:val="00684654"/>
    <w:rsid w:val="0068481F"/>
    <w:rsid w:val="00685A84"/>
    <w:rsid w:val="00685BE0"/>
    <w:rsid w:val="00691A89"/>
    <w:rsid w:val="00693EA1"/>
    <w:rsid w:val="006945FC"/>
    <w:rsid w:val="0069636F"/>
    <w:rsid w:val="00696F5D"/>
    <w:rsid w:val="00697249"/>
    <w:rsid w:val="006A06F3"/>
    <w:rsid w:val="006A0ECB"/>
    <w:rsid w:val="006A1A67"/>
    <w:rsid w:val="006A5634"/>
    <w:rsid w:val="006A5884"/>
    <w:rsid w:val="006B09C4"/>
    <w:rsid w:val="006B234A"/>
    <w:rsid w:val="006B2399"/>
    <w:rsid w:val="006B3947"/>
    <w:rsid w:val="006B4293"/>
    <w:rsid w:val="006B624F"/>
    <w:rsid w:val="006B6B43"/>
    <w:rsid w:val="006B7AFE"/>
    <w:rsid w:val="006C0C95"/>
    <w:rsid w:val="006C31E3"/>
    <w:rsid w:val="006D18D3"/>
    <w:rsid w:val="006D1EE9"/>
    <w:rsid w:val="006D339D"/>
    <w:rsid w:val="006D3BD1"/>
    <w:rsid w:val="006D4549"/>
    <w:rsid w:val="006D54D2"/>
    <w:rsid w:val="006E010E"/>
    <w:rsid w:val="006E08CB"/>
    <w:rsid w:val="006E598D"/>
    <w:rsid w:val="006E5A60"/>
    <w:rsid w:val="006E5D18"/>
    <w:rsid w:val="006E64A8"/>
    <w:rsid w:val="006E65D1"/>
    <w:rsid w:val="006E6EB7"/>
    <w:rsid w:val="006F061E"/>
    <w:rsid w:val="006F09A6"/>
    <w:rsid w:val="006F3860"/>
    <w:rsid w:val="00700D0F"/>
    <w:rsid w:val="00700F1F"/>
    <w:rsid w:val="00702D32"/>
    <w:rsid w:val="0070350D"/>
    <w:rsid w:val="00703BD7"/>
    <w:rsid w:val="0070437D"/>
    <w:rsid w:val="00704CF1"/>
    <w:rsid w:val="00704E33"/>
    <w:rsid w:val="00705B04"/>
    <w:rsid w:val="00707059"/>
    <w:rsid w:val="0071040E"/>
    <w:rsid w:val="00710807"/>
    <w:rsid w:val="007138F9"/>
    <w:rsid w:val="00714507"/>
    <w:rsid w:val="00715764"/>
    <w:rsid w:val="0071799F"/>
    <w:rsid w:val="00717EE9"/>
    <w:rsid w:val="00724318"/>
    <w:rsid w:val="00724992"/>
    <w:rsid w:val="00724F64"/>
    <w:rsid w:val="007263CB"/>
    <w:rsid w:val="00727F90"/>
    <w:rsid w:val="00731F5E"/>
    <w:rsid w:val="00734820"/>
    <w:rsid w:val="007349DC"/>
    <w:rsid w:val="007422B4"/>
    <w:rsid w:val="0074365E"/>
    <w:rsid w:val="007445EE"/>
    <w:rsid w:val="00744B55"/>
    <w:rsid w:val="00747DD5"/>
    <w:rsid w:val="007515FD"/>
    <w:rsid w:val="00752353"/>
    <w:rsid w:val="00753AB2"/>
    <w:rsid w:val="00753D5E"/>
    <w:rsid w:val="0075695E"/>
    <w:rsid w:val="00760D80"/>
    <w:rsid w:val="00761CB4"/>
    <w:rsid w:val="00763450"/>
    <w:rsid w:val="00764170"/>
    <w:rsid w:val="00765077"/>
    <w:rsid w:val="00767110"/>
    <w:rsid w:val="00767790"/>
    <w:rsid w:val="00772C4A"/>
    <w:rsid w:val="00780729"/>
    <w:rsid w:val="00780C09"/>
    <w:rsid w:val="00780DDF"/>
    <w:rsid w:val="007834E9"/>
    <w:rsid w:val="00783AD2"/>
    <w:rsid w:val="00787DBC"/>
    <w:rsid w:val="0079019A"/>
    <w:rsid w:val="00792935"/>
    <w:rsid w:val="00793EAA"/>
    <w:rsid w:val="0079534E"/>
    <w:rsid w:val="007A04A1"/>
    <w:rsid w:val="007A0E04"/>
    <w:rsid w:val="007A1840"/>
    <w:rsid w:val="007A2330"/>
    <w:rsid w:val="007A41DD"/>
    <w:rsid w:val="007B02BF"/>
    <w:rsid w:val="007B04E6"/>
    <w:rsid w:val="007B06F5"/>
    <w:rsid w:val="007B1840"/>
    <w:rsid w:val="007B2302"/>
    <w:rsid w:val="007B3C77"/>
    <w:rsid w:val="007B730C"/>
    <w:rsid w:val="007B7FD3"/>
    <w:rsid w:val="007C0528"/>
    <w:rsid w:val="007C08EA"/>
    <w:rsid w:val="007C333C"/>
    <w:rsid w:val="007C3D38"/>
    <w:rsid w:val="007C48E2"/>
    <w:rsid w:val="007C5084"/>
    <w:rsid w:val="007C56FA"/>
    <w:rsid w:val="007C6E2B"/>
    <w:rsid w:val="007D0F35"/>
    <w:rsid w:val="007D1783"/>
    <w:rsid w:val="007D4546"/>
    <w:rsid w:val="007D499F"/>
    <w:rsid w:val="007D4FEB"/>
    <w:rsid w:val="007D6146"/>
    <w:rsid w:val="007D7227"/>
    <w:rsid w:val="007E0CE7"/>
    <w:rsid w:val="007E2B50"/>
    <w:rsid w:val="007E2C34"/>
    <w:rsid w:val="007E5041"/>
    <w:rsid w:val="007E6DAF"/>
    <w:rsid w:val="007F1193"/>
    <w:rsid w:val="007F3C1E"/>
    <w:rsid w:val="007F417F"/>
    <w:rsid w:val="007F43CF"/>
    <w:rsid w:val="007F7644"/>
    <w:rsid w:val="008041CD"/>
    <w:rsid w:val="008042BD"/>
    <w:rsid w:val="00804E17"/>
    <w:rsid w:val="008050B3"/>
    <w:rsid w:val="00805CCD"/>
    <w:rsid w:val="008105BC"/>
    <w:rsid w:val="00810A89"/>
    <w:rsid w:val="00810F2E"/>
    <w:rsid w:val="008143B9"/>
    <w:rsid w:val="00815EC9"/>
    <w:rsid w:val="00816624"/>
    <w:rsid w:val="00821C05"/>
    <w:rsid w:val="00822427"/>
    <w:rsid w:val="00822562"/>
    <w:rsid w:val="00823663"/>
    <w:rsid w:val="00823664"/>
    <w:rsid w:val="0082506A"/>
    <w:rsid w:val="00825CBF"/>
    <w:rsid w:val="00826677"/>
    <w:rsid w:val="00830496"/>
    <w:rsid w:val="008305B7"/>
    <w:rsid w:val="00830733"/>
    <w:rsid w:val="00832DDC"/>
    <w:rsid w:val="008347F9"/>
    <w:rsid w:val="00837F15"/>
    <w:rsid w:val="008426B0"/>
    <w:rsid w:val="008431BB"/>
    <w:rsid w:val="00845E34"/>
    <w:rsid w:val="0084665B"/>
    <w:rsid w:val="00850BAC"/>
    <w:rsid w:val="00850DD2"/>
    <w:rsid w:val="00851A10"/>
    <w:rsid w:val="00853442"/>
    <w:rsid w:val="00854A3E"/>
    <w:rsid w:val="00854B81"/>
    <w:rsid w:val="00854FAF"/>
    <w:rsid w:val="00855D08"/>
    <w:rsid w:val="008618A4"/>
    <w:rsid w:val="00862EE2"/>
    <w:rsid w:val="00863930"/>
    <w:rsid w:val="00864A21"/>
    <w:rsid w:val="00866F36"/>
    <w:rsid w:val="008731AB"/>
    <w:rsid w:val="008742A7"/>
    <w:rsid w:val="00874344"/>
    <w:rsid w:val="0087505D"/>
    <w:rsid w:val="008766DE"/>
    <w:rsid w:val="00877703"/>
    <w:rsid w:val="00882155"/>
    <w:rsid w:val="0088233B"/>
    <w:rsid w:val="008827AD"/>
    <w:rsid w:val="00884888"/>
    <w:rsid w:val="0088599E"/>
    <w:rsid w:val="00886B78"/>
    <w:rsid w:val="00886C37"/>
    <w:rsid w:val="008873FD"/>
    <w:rsid w:val="008906AB"/>
    <w:rsid w:val="008915FC"/>
    <w:rsid w:val="00892D99"/>
    <w:rsid w:val="00893315"/>
    <w:rsid w:val="0089486E"/>
    <w:rsid w:val="00894C09"/>
    <w:rsid w:val="00897C72"/>
    <w:rsid w:val="008A15F9"/>
    <w:rsid w:val="008A216F"/>
    <w:rsid w:val="008A2A67"/>
    <w:rsid w:val="008A2DC1"/>
    <w:rsid w:val="008A2F0D"/>
    <w:rsid w:val="008A38C5"/>
    <w:rsid w:val="008A5749"/>
    <w:rsid w:val="008A66B3"/>
    <w:rsid w:val="008B38E6"/>
    <w:rsid w:val="008B5218"/>
    <w:rsid w:val="008B5C68"/>
    <w:rsid w:val="008B5CB9"/>
    <w:rsid w:val="008B62AE"/>
    <w:rsid w:val="008B7520"/>
    <w:rsid w:val="008B7A28"/>
    <w:rsid w:val="008C04B5"/>
    <w:rsid w:val="008C14FA"/>
    <w:rsid w:val="008C15A7"/>
    <w:rsid w:val="008C57F9"/>
    <w:rsid w:val="008C6086"/>
    <w:rsid w:val="008C7B0B"/>
    <w:rsid w:val="008D23E7"/>
    <w:rsid w:val="008D3C7C"/>
    <w:rsid w:val="008D4057"/>
    <w:rsid w:val="008D676C"/>
    <w:rsid w:val="008D6C49"/>
    <w:rsid w:val="008D76AE"/>
    <w:rsid w:val="008E007E"/>
    <w:rsid w:val="008E1F19"/>
    <w:rsid w:val="008E2D12"/>
    <w:rsid w:val="008E3913"/>
    <w:rsid w:val="008E60D6"/>
    <w:rsid w:val="008F2262"/>
    <w:rsid w:val="008F3268"/>
    <w:rsid w:val="008F4D2B"/>
    <w:rsid w:val="008F5B91"/>
    <w:rsid w:val="008F6D9C"/>
    <w:rsid w:val="008F7736"/>
    <w:rsid w:val="0090019E"/>
    <w:rsid w:val="00900435"/>
    <w:rsid w:val="00900C03"/>
    <w:rsid w:val="00900FF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160F7"/>
    <w:rsid w:val="00920E64"/>
    <w:rsid w:val="00921F2A"/>
    <w:rsid w:val="00922002"/>
    <w:rsid w:val="009225CB"/>
    <w:rsid w:val="00924020"/>
    <w:rsid w:val="00924BF4"/>
    <w:rsid w:val="00925337"/>
    <w:rsid w:val="009254A9"/>
    <w:rsid w:val="009271A7"/>
    <w:rsid w:val="0092762F"/>
    <w:rsid w:val="00932669"/>
    <w:rsid w:val="00932812"/>
    <w:rsid w:val="0093658B"/>
    <w:rsid w:val="00937CC5"/>
    <w:rsid w:val="00941886"/>
    <w:rsid w:val="00941FC4"/>
    <w:rsid w:val="00942599"/>
    <w:rsid w:val="009429FF"/>
    <w:rsid w:val="009437CB"/>
    <w:rsid w:val="00943A10"/>
    <w:rsid w:val="009444D1"/>
    <w:rsid w:val="00945BD6"/>
    <w:rsid w:val="009479FB"/>
    <w:rsid w:val="0095158C"/>
    <w:rsid w:val="00951C45"/>
    <w:rsid w:val="00951DD8"/>
    <w:rsid w:val="00951EE9"/>
    <w:rsid w:val="00956050"/>
    <w:rsid w:val="0096053F"/>
    <w:rsid w:val="009623B9"/>
    <w:rsid w:val="00964107"/>
    <w:rsid w:val="00964434"/>
    <w:rsid w:val="009656F2"/>
    <w:rsid w:val="009663D3"/>
    <w:rsid w:val="00966A08"/>
    <w:rsid w:val="009672A9"/>
    <w:rsid w:val="009701B7"/>
    <w:rsid w:val="00971207"/>
    <w:rsid w:val="00971EEF"/>
    <w:rsid w:val="00972FDC"/>
    <w:rsid w:val="00975CB4"/>
    <w:rsid w:val="0098136C"/>
    <w:rsid w:val="009829B7"/>
    <w:rsid w:val="009863B0"/>
    <w:rsid w:val="00987DE1"/>
    <w:rsid w:val="00990571"/>
    <w:rsid w:val="00991647"/>
    <w:rsid w:val="00991905"/>
    <w:rsid w:val="009926B2"/>
    <w:rsid w:val="00992E5C"/>
    <w:rsid w:val="0099673A"/>
    <w:rsid w:val="009A3291"/>
    <w:rsid w:val="009A3330"/>
    <w:rsid w:val="009A519B"/>
    <w:rsid w:val="009A548F"/>
    <w:rsid w:val="009A7C96"/>
    <w:rsid w:val="009B207D"/>
    <w:rsid w:val="009B483E"/>
    <w:rsid w:val="009B4ACC"/>
    <w:rsid w:val="009B61BF"/>
    <w:rsid w:val="009B77E4"/>
    <w:rsid w:val="009C3253"/>
    <w:rsid w:val="009C3DB9"/>
    <w:rsid w:val="009C5968"/>
    <w:rsid w:val="009D0436"/>
    <w:rsid w:val="009D0C77"/>
    <w:rsid w:val="009D1361"/>
    <w:rsid w:val="009D46E5"/>
    <w:rsid w:val="009D568A"/>
    <w:rsid w:val="009E1A03"/>
    <w:rsid w:val="009E23C0"/>
    <w:rsid w:val="009E2B39"/>
    <w:rsid w:val="009E400C"/>
    <w:rsid w:val="009E463A"/>
    <w:rsid w:val="009E5903"/>
    <w:rsid w:val="009E68AD"/>
    <w:rsid w:val="009E7956"/>
    <w:rsid w:val="009F04EC"/>
    <w:rsid w:val="009F22D0"/>
    <w:rsid w:val="009F2A7C"/>
    <w:rsid w:val="009F3B36"/>
    <w:rsid w:val="009F4EEE"/>
    <w:rsid w:val="00A006ED"/>
    <w:rsid w:val="00A019B9"/>
    <w:rsid w:val="00A029A7"/>
    <w:rsid w:val="00A03157"/>
    <w:rsid w:val="00A10E4E"/>
    <w:rsid w:val="00A11756"/>
    <w:rsid w:val="00A12497"/>
    <w:rsid w:val="00A12508"/>
    <w:rsid w:val="00A1282B"/>
    <w:rsid w:val="00A1386C"/>
    <w:rsid w:val="00A13A27"/>
    <w:rsid w:val="00A14BD2"/>
    <w:rsid w:val="00A15B7C"/>
    <w:rsid w:val="00A175B6"/>
    <w:rsid w:val="00A21835"/>
    <w:rsid w:val="00A234C9"/>
    <w:rsid w:val="00A2374B"/>
    <w:rsid w:val="00A23AAB"/>
    <w:rsid w:val="00A23D95"/>
    <w:rsid w:val="00A27D6E"/>
    <w:rsid w:val="00A309C0"/>
    <w:rsid w:val="00A30AEE"/>
    <w:rsid w:val="00A3187C"/>
    <w:rsid w:val="00A328EC"/>
    <w:rsid w:val="00A33A51"/>
    <w:rsid w:val="00A353C4"/>
    <w:rsid w:val="00A413A5"/>
    <w:rsid w:val="00A41717"/>
    <w:rsid w:val="00A41CA6"/>
    <w:rsid w:val="00A4267E"/>
    <w:rsid w:val="00A431ED"/>
    <w:rsid w:val="00A447CD"/>
    <w:rsid w:val="00A47927"/>
    <w:rsid w:val="00A47FFC"/>
    <w:rsid w:val="00A51B1E"/>
    <w:rsid w:val="00A52C51"/>
    <w:rsid w:val="00A5442F"/>
    <w:rsid w:val="00A54FF9"/>
    <w:rsid w:val="00A55BAD"/>
    <w:rsid w:val="00A56765"/>
    <w:rsid w:val="00A655AC"/>
    <w:rsid w:val="00A66CC9"/>
    <w:rsid w:val="00A66D7D"/>
    <w:rsid w:val="00A67095"/>
    <w:rsid w:val="00A6732A"/>
    <w:rsid w:val="00A675AC"/>
    <w:rsid w:val="00A67E05"/>
    <w:rsid w:val="00A70727"/>
    <w:rsid w:val="00A7097D"/>
    <w:rsid w:val="00A7113E"/>
    <w:rsid w:val="00A73D53"/>
    <w:rsid w:val="00A741E7"/>
    <w:rsid w:val="00A7581F"/>
    <w:rsid w:val="00A808CD"/>
    <w:rsid w:val="00A81274"/>
    <w:rsid w:val="00A85CBE"/>
    <w:rsid w:val="00A86ACA"/>
    <w:rsid w:val="00A90058"/>
    <w:rsid w:val="00A9226D"/>
    <w:rsid w:val="00A92439"/>
    <w:rsid w:val="00A92FB1"/>
    <w:rsid w:val="00A93BE5"/>
    <w:rsid w:val="00A95980"/>
    <w:rsid w:val="00A95A0C"/>
    <w:rsid w:val="00A95C07"/>
    <w:rsid w:val="00AA2765"/>
    <w:rsid w:val="00AA2EFF"/>
    <w:rsid w:val="00AA6FF7"/>
    <w:rsid w:val="00AA77B5"/>
    <w:rsid w:val="00AB0AB1"/>
    <w:rsid w:val="00AB265A"/>
    <w:rsid w:val="00AB30FD"/>
    <w:rsid w:val="00AB6C5D"/>
    <w:rsid w:val="00AB768E"/>
    <w:rsid w:val="00AC0E2E"/>
    <w:rsid w:val="00AC3401"/>
    <w:rsid w:val="00AC420E"/>
    <w:rsid w:val="00AC51A7"/>
    <w:rsid w:val="00AC603B"/>
    <w:rsid w:val="00AD0E89"/>
    <w:rsid w:val="00AD1D87"/>
    <w:rsid w:val="00AD1D97"/>
    <w:rsid w:val="00AD20BA"/>
    <w:rsid w:val="00AD30C9"/>
    <w:rsid w:val="00AD444B"/>
    <w:rsid w:val="00AD4584"/>
    <w:rsid w:val="00AD4BA1"/>
    <w:rsid w:val="00AD5614"/>
    <w:rsid w:val="00AD6C78"/>
    <w:rsid w:val="00AD6DEE"/>
    <w:rsid w:val="00AD7012"/>
    <w:rsid w:val="00AD7738"/>
    <w:rsid w:val="00AE03F0"/>
    <w:rsid w:val="00AE09EF"/>
    <w:rsid w:val="00AE1D24"/>
    <w:rsid w:val="00AE2EAB"/>
    <w:rsid w:val="00AE3B4F"/>
    <w:rsid w:val="00AE3D5B"/>
    <w:rsid w:val="00AE6DFE"/>
    <w:rsid w:val="00AF0219"/>
    <w:rsid w:val="00AF13D0"/>
    <w:rsid w:val="00AF13DB"/>
    <w:rsid w:val="00AF34BA"/>
    <w:rsid w:val="00AF3D9B"/>
    <w:rsid w:val="00AF5E0E"/>
    <w:rsid w:val="00AF5F89"/>
    <w:rsid w:val="00AF6FB4"/>
    <w:rsid w:val="00AF73CB"/>
    <w:rsid w:val="00B002D6"/>
    <w:rsid w:val="00B02EF0"/>
    <w:rsid w:val="00B03379"/>
    <w:rsid w:val="00B03483"/>
    <w:rsid w:val="00B03CFF"/>
    <w:rsid w:val="00B03FA5"/>
    <w:rsid w:val="00B04110"/>
    <w:rsid w:val="00B04744"/>
    <w:rsid w:val="00B0509D"/>
    <w:rsid w:val="00B05987"/>
    <w:rsid w:val="00B05B51"/>
    <w:rsid w:val="00B122E7"/>
    <w:rsid w:val="00B13A74"/>
    <w:rsid w:val="00B14E5A"/>
    <w:rsid w:val="00B151D6"/>
    <w:rsid w:val="00B15370"/>
    <w:rsid w:val="00B16DA4"/>
    <w:rsid w:val="00B17BEB"/>
    <w:rsid w:val="00B21A3C"/>
    <w:rsid w:val="00B223C0"/>
    <w:rsid w:val="00B2309D"/>
    <w:rsid w:val="00B234ED"/>
    <w:rsid w:val="00B236B3"/>
    <w:rsid w:val="00B2443F"/>
    <w:rsid w:val="00B249B2"/>
    <w:rsid w:val="00B24BEC"/>
    <w:rsid w:val="00B25CA3"/>
    <w:rsid w:val="00B2765A"/>
    <w:rsid w:val="00B27DEB"/>
    <w:rsid w:val="00B3109A"/>
    <w:rsid w:val="00B314D2"/>
    <w:rsid w:val="00B31BD5"/>
    <w:rsid w:val="00B32D37"/>
    <w:rsid w:val="00B41923"/>
    <w:rsid w:val="00B41AA8"/>
    <w:rsid w:val="00B42B45"/>
    <w:rsid w:val="00B45108"/>
    <w:rsid w:val="00B516ED"/>
    <w:rsid w:val="00B549BC"/>
    <w:rsid w:val="00B5533A"/>
    <w:rsid w:val="00B555FD"/>
    <w:rsid w:val="00B565DA"/>
    <w:rsid w:val="00B57A6A"/>
    <w:rsid w:val="00B6113D"/>
    <w:rsid w:val="00B62D0D"/>
    <w:rsid w:val="00B64E49"/>
    <w:rsid w:val="00B6675A"/>
    <w:rsid w:val="00B7592D"/>
    <w:rsid w:val="00B760F1"/>
    <w:rsid w:val="00B7669E"/>
    <w:rsid w:val="00B76CB3"/>
    <w:rsid w:val="00B76EBB"/>
    <w:rsid w:val="00B773F6"/>
    <w:rsid w:val="00B77DA1"/>
    <w:rsid w:val="00B822A0"/>
    <w:rsid w:val="00B82F85"/>
    <w:rsid w:val="00B858AE"/>
    <w:rsid w:val="00B85964"/>
    <w:rsid w:val="00B87A07"/>
    <w:rsid w:val="00B95303"/>
    <w:rsid w:val="00B95EF7"/>
    <w:rsid w:val="00B96250"/>
    <w:rsid w:val="00BA0D55"/>
    <w:rsid w:val="00BA1E9F"/>
    <w:rsid w:val="00BA3040"/>
    <w:rsid w:val="00BA37B3"/>
    <w:rsid w:val="00BA4C57"/>
    <w:rsid w:val="00BA4CC6"/>
    <w:rsid w:val="00BA53E8"/>
    <w:rsid w:val="00BA7F46"/>
    <w:rsid w:val="00BB0016"/>
    <w:rsid w:val="00BB0F1D"/>
    <w:rsid w:val="00BB1628"/>
    <w:rsid w:val="00BB217B"/>
    <w:rsid w:val="00BB3493"/>
    <w:rsid w:val="00BB3BE0"/>
    <w:rsid w:val="00BB4AD5"/>
    <w:rsid w:val="00BB5587"/>
    <w:rsid w:val="00BB6E4C"/>
    <w:rsid w:val="00BB7468"/>
    <w:rsid w:val="00BC0514"/>
    <w:rsid w:val="00BC188A"/>
    <w:rsid w:val="00BC3B87"/>
    <w:rsid w:val="00BC402E"/>
    <w:rsid w:val="00BC70C6"/>
    <w:rsid w:val="00BD036E"/>
    <w:rsid w:val="00BD0F48"/>
    <w:rsid w:val="00BD1284"/>
    <w:rsid w:val="00BD14E5"/>
    <w:rsid w:val="00BD2E65"/>
    <w:rsid w:val="00BD348E"/>
    <w:rsid w:val="00BD4E60"/>
    <w:rsid w:val="00BE0E50"/>
    <w:rsid w:val="00BE10E0"/>
    <w:rsid w:val="00BE18B7"/>
    <w:rsid w:val="00BE59BB"/>
    <w:rsid w:val="00BE6023"/>
    <w:rsid w:val="00BE6403"/>
    <w:rsid w:val="00BE686D"/>
    <w:rsid w:val="00BE6DDB"/>
    <w:rsid w:val="00BE6E32"/>
    <w:rsid w:val="00BE6FDA"/>
    <w:rsid w:val="00BF03E0"/>
    <w:rsid w:val="00BF17CC"/>
    <w:rsid w:val="00BF479B"/>
    <w:rsid w:val="00BF4AAE"/>
    <w:rsid w:val="00BF5010"/>
    <w:rsid w:val="00BF74AD"/>
    <w:rsid w:val="00BF7ABF"/>
    <w:rsid w:val="00C002C1"/>
    <w:rsid w:val="00C00683"/>
    <w:rsid w:val="00C02064"/>
    <w:rsid w:val="00C03009"/>
    <w:rsid w:val="00C03D5F"/>
    <w:rsid w:val="00C05CAF"/>
    <w:rsid w:val="00C122E4"/>
    <w:rsid w:val="00C1243B"/>
    <w:rsid w:val="00C12679"/>
    <w:rsid w:val="00C13791"/>
    <w:rsid w:val="00C210BD"/>
    <w:rsid w:val="00C215BF"/>
    <w:rsid w:val="00C24AB9"/>
    <w:rsid w:val="00C2575A"/>
    <w:rsid w:val="00C26E43"/>
    <w:rsid w:val="00C31BB3"/>
    <w:rsid w:val="00C32F9A"/>
    <w:rsid w:val="00C353AC"/>
    <w:rsid w:val="00C36977"/>
    <w:rsid w:val="00C435C5"/>
    <w:rsid w:val="00C43E0D"/>
    <w:rsid w:val="00C43E87"/>
    <w:rsid w:val="00C44163"/>
    <w:rsid w:val="00C4496D"/>
    <w:rsid w:val="00C46628"/>
    <w:rsid w:val="00C467DA"/>
    <w:rsid w:val="00C477D9"/>
    <w:rsid w:val="00C50FBB"/>
    <w:rsid w:val="00C530DF"/>
    <w:rsid w:val="00C53BC8"/>
    <w:rsid w:val="00C5731A"/>
    <w:rsid w:val="00C57869"/>
    <w:rsid w:val="00C57D5A"/>
    <w:rsid w:val="00C6097E"/>
    <w:rsid w:val="00C60BA3"/>
    <w:rsid w:val="00C623F7"/>
    <w:rsid w:val="00C6297D"/>
    <w:rsid w:val="00C62A81"/>
    <w:rsid w:val="00C63E8F"/>
    <w:rsid w:val="00C67CD7"/>
    <w:rsid w:val="00C71E00"/>
    <w:rsid w:val="00C73844"/>
    <w:rsid w:val="00C75BC5"/>
    <w:rsid w:val="00C81670"/>
    <w:rsid w:val="00C81773"/>
    <w:rsid w:val="00C82861"/>
    <w:rsid w:val="00C8366D"/>
    <w:rsid w:val="00C8396C"/>
    <w:rsid w:val="00C841A7"/>
    <w:rsid w:val="00C846A3"/>
    <w:rsid w:val="00C84CE8"/>
    <w:rsid w:val="00C8514D"/>
    <w:rsid w:val="00C8564E"/>
    <w:rsid w:val="00C86896"/>
    <w:rsid w:val="00C907A8"/>
    <w:rsid w:val="00C91670"/>
    <w:rsid w:val="00C923E3"/>
    <w:rsid w:val="00C924D2"/>
    <w:rsid w:val="00C93211"/>
    <w:rsid w:val="00C93DB8"/>
    <w:rsid w:val="00C940CD"/>
    <w:rsid w:val="00C942EC"/>
    <w:rsid w:val="00C96047"/>
    <w:rsid w:val="00C96C9E"/>
    <w:rsid w:val="00C979D0"/>
    <w:rsid w:val="00CA0818"/>
    <w:rsid w:val="00CA0D76"/>
    <w:rsid w:val="00CA15C8"/>
    <w:rsid w:val="00CA2C8F"/>
    <w:rsid w:val="00CA30DA"/>
    <w:rsid w:val="00CA3A24"/>
    <w:rsid w:val="00CA55C6"/>
    <w:rsid w:val="00CA618F"/>
    <w:rsid w:val="00CB16BF"/>
    <w:rsid w:val="00CB1777"/>
    <w:rsid w:val="00CB33E9"/>
    <w:rsid w:val="00CB57E9"/>
    <w:rsid w:val="00CB5BD3"/>
    <w:rsid w:val="00CB7C0B"/>
    <w:rsid w:val="00CC10A9"/>
    <w:rsid w:val="00CC13CC"/>
    <w:rsid w:val="00CC2602"/>
    <w:rsid w:val="00CD0655"/>
    <w:rsid w:val="00CD0660"/>
    <w:rsid w:val="00CD1FAF"/>
    <w:rsid w:val="00CD2DDB"/>
    <w:rsid w:val="00CD4000"/>
    <w:rsid w:val="00CD4FA1"/>
    <w:rsid w:val="00CD7089"/>
    <w:rsid w:val="00CD71AF"/>
    <w:rsid w:val="00CD7685"/>
    <w:rsid w:val="00CE2BF8"/>
    <w:rsid w:val="00CE484E"/>
    <w:rsid w:val="00CE4D20"/>
    <w:rsid w:val="00CE656F"/>
    <w:rsid w:val="00CE6A0B"/>
    <w:rsid w:val="00CE75F0"/>
    <w:rsid w:val="00CF0DA8"/>
    <w:rsid w:val="00CF1034"/>
    <w:rsid w:val="00CF15FF"/>
    <w:rsid w:val="00CF2E25"/>
    <w:rsid w:val="00CF4453"/>
    <w:rsid w:val="00CF4629"/>
    <w:rsid w:val="00CF5589"/>
    <w:rsid w:val="00CF5917"/>
    <w:rsid w:val="00CF5D94"/>
    <w:rsid w:val="00CF7E0F"/>
    <w:rsid w:val="00D00893"/>
    <w:rsid w:val="00D034D7"/>
    <w:rsid w:val="00D03667"/>
    <w:rsid w:val="00D04BE4"/>
    <w:rsid w:val="00D06FC7"/>
    <w:rsid w:val="00D122C8"/>
    <w:rsid w:val="00D12565"/>
    <w:rsid w:val="00D140C1"/>
    <w:rsid w:val="00D14127"/>
    <w:rsid w:val="00D162F6"/>
    <w:rsid w:val="00D174D3"/>
    <w:rsid w:val="00D20741"/>
    <w:rsid w:val="00D211DE"/>
    <w:rsid w:val="00D21D6E"/>
    <w:rsid w:val="00D22397"/>
    <w:rsid w:val="00D23709"/>
    <w:rsid w:val="00D23721"/>
    <w:rsid w:val="00D262A4"/>
    <w:rsid w:val="00D27915"/>
    <w:rsid w:val="00D311F7"/>
    <w:rsid w:val="00D33DAF"/>
    <w:rsid w:val="00D35449"/>
    <w:rsid w:val="00D361A5"/>
    <w:rsid w:val="00D41006"/>
    <w:rsid w:val="00D41BBD"/>
    <w:rsid w:val="00D4641A"/>
    <w:rsid w:val="00D479AE"/>
    <w:rsid w:val="00D504D0"/>
    <w:rsid w:val="00D50796"/>
    <w:rsid w:val="00D50FCD"/>
    <w:rsid w:val="00D531E5"/>
    <w:rsid w:val="00D533E3"/>
    <w:rsid w:val="00D60B16"/>
    <w:rsid w:val="00D60C20"/>
    <w:rsid w:val="00D60F02"/>
    <w:rsid w:val="00D61063"/>
    <w:rsid w:val="00D64A0B"/>
    <w:rsid w:val="00D65B37"/>
    <w:rsid w:val="00D65E72"/>
    <w:rsid w:val="00D66C54"/>
    <w:rsid w:val="00D66E49"/>
    <w:rsid w:val="00D67AEB"/>
    <w:rsid w:val="00D70D71"/>
    <w:rsid w:val="00D72F74"/>
    <w:rsid w:val="00D77096"/>
    <w:rsid w:val="00D80015"/>
    <w:rsid w:val="00D80838"/>
    <w:rsid w:val="00D81563"/>
    <w:rsid w:val="00D81C35"/>
    <w:rsid w:val="00D837C1"/>
    <w:rsid w:val="00D84CE4"/>
    <w:rsid w:val="00D85907"/>
    <w:rsid w:val="00D860AC"/>
    <w:rsid w:val="00D86315"/>
    <w:rsid w:val="00D9073E"/>
    <w:rsid w:val="00D9221D"/>
    <w:rsid w:val="00D9253C"/>
    <w:rsid w:val="00D94FC3"/>
    <w:rsid w:val="00D958DF"/>
    <w:rsid w:val="00D9627B"/>
    <w:rsid w:val="00D96DA1"/>
    <w:rsid w:val="00DA3D54"/>
    <w:rsid w:val="00DA41A8"/>
    <w:rsid w:val="00DA51E7"/>
    <w:rsid w:val="00DB0260"/>
    <w:rsid w:val="00DB1C78"/>
    <w:rsid w:val="00DB7C7C"/>
    <w:rsid w:val="00DB7D96"/>
    <w:rsid w:val="00DC23FE"/>
    <w:rsid w:val="00DC59E6"/>
    <w:rsid w:val="00DD04DF"/>
    <w:rsid w:val="00DD06F8"/>
    <w:rsid w:val="00DD150B"/>
    <w:rsid w:val="00DD3356"/>
    <w:rsid w:val="00DD5025"/>
    <w:rsid w:val="00DD5464"/>
    <w:rsid w:val="00DD6F85"/>
    <w:rsid w:val="00DD748A"/>
    <w:rsid w:val="00DE254E"/>
    <w:rsid w:val="00DE32C0"/>
    <w:rsid w:val="00DE52C0"/>
    <w:rsid w:val="00DE736C"/>
    <w:rsid w:val="00DE76A7"/>
    <w:rsid w:val="00DF098F"/>
    <w:rsid w:val="00DF1163"/>
    <w:rsid w:val="00DF1510"/>
    <w:rsid w:val="00DF2489"/>
    <w:rsid w:val="00DF28A4"/>
    <w:rsid w:val="00E02F1F"/>
    <w:rsid w:val="00E03C26"/>
    <w:rsid w:val="00E05454"/>
    <w:rsid w:val="00E06484"/>
    <w:rsid w:val="00E06B24"/>
    <w:rsid w:val="00E076AF"/>
    <w:rsid w:val="00E128C3"/>
    <w:rsid w:val="00E157D8"/>
    <w:rsid w:val="00E16BB5"/>
    <w:rsid w:val="00E207EB"/>
    <w:rsid w:val="00E20A7D"/>
    <w:rsid w:val="00E20ED5"/>
    <w:rsid w:val="00E23FE4"/>
    <w:rsid w:val="00E275D8"/>
    <w:rsid w:val="00E27895"/>
    <w:rsid w:val="00E27D9C"/>
    <w:rsid w:val="00E30F6A"/>
    <w:rsid w:val="00E3117C"/>
    <w:rsid w:val="00E31288"/>
    <w:rsid w:val="00E3191F"/>
    <w:rsid w:val="00E34307"/>
    <w:rsid w:val="00E34511"/>
    <w:rsid w:val="00E34680"/>
    <w:rsid w:val="00E35E6C"/>
    <w:rsid w:val="00E3609B"/>
    <w:rsid w:val="00E3635B"/>
    <w:rsid w:val="00E375C3"/>
    <w:rsid w:val="00E375CA"/>
    <w:rsid w:val="00E40AD5"/>
    <w:rsid w:val="00E45C18"/>
    <w:rsid w:val="00E45D12"/>
    <w:rsid w:val="00E46EA7"/>
    <w:rsid w:val="00E47341"/>
    <w:rsid w:val="00E5364F"/>
    <w:rsid w:val="00E53CDE"/>
    <w:rsid w:val="00E54532"/>
    <w:rsid w:val="00E567E8"/>
    <w:rsid w:val="00E56D40"/>
    <w:rsid w:val="00E57741"/>
    <w:rsid w:val="00E62F74"/>
    <w:rsid w:val="00E63766"/>
    <w:rsid w:val="00E64679"/>
    <w:rsid w:val="00E65EBC"/>
    <w:rsid w:val="00E6602E"/>
    <w:rsid w:val="00E66295"/>
    <w:rsid w:val="00E6678F"/>
    <w:rsid w:val="00E6738D"/>
    <w:rsid w:val="00E677FE"/>
    <w:rsid w:val="00E67B74"/>
    <w:rsid w:val="00E73432"/>
    <w:rsid w:val="00E77B0C"/>
    <w:rsid w:val="00E77FB8"/>
    <w:rsid w:val="00E834B1"/>
    <w:rsid w:val="00E838B0"/>
    <w:rsid w:val="00E85188"/>
    <w:rsid w:val="00E86A7C"/>
    <w:rsid w:val="00E878E1"/>
    <w:rsid w:val="00E87F2C"/>
    <w:rsid w:val="00E91C03"/>
    <w:rsid w:val="00E93E24"/>
    <w:rsid w:val="00E9483D"/>
    <w:rsid w:val="00E95278"/>
    <w:rsid w:val="00E96A42"/>
    <w:rsid w:val="00EA0289"/>
    <w:rsid w:val="00EA2273"/>
    <w:rsid w:val="00EA6A4D"/>
    <w:rsid w:val="00EA7C3C"/>
    <w:rsid w:val="00EB0B32"/>
    <w:rsid w:val="00EB24C4"/>
    <w:rsid w:val="00EB2DB3"/>
    <w:rsid w:val="00EB3CF4"/>
    <w:rsid w:val="00EC2A7A"/>
    <w:rsid w:val="00EC3A07"/>
    <w:rsid w:val="00EC3FBB"/>
    <w:rsid w:val="00EC4835"/>
    <w:rsid w:val="00EC5475"/>
    <w:rsid w:val="00EC5856"/>
    <w:rsid w:val="00EC6B7A"/>
    <w:rsid w:val="00EC77F1"/>
    <w:rsid w:val="00ED013E"/>
    <w:rsid w:val="00ED3A87"/>
    <w:rsid w:val="00ED4A1D"/>
    <w:rsid w:val="00ED5B67"/>
    <w:rsid w:val="00ED7AD2"/>
    <w:rsid w:val="00EE1A5C"/>
    <w:rsid w:val="00EE2BC6"/>
    <w:rsid w:val="00EE4D82"/>
    <w:rsid w:val="00EE5F5A"/>
    <w:rsid w:val="00EF1018"/>
    <w:rsid w:val="00EF1E45"/>
    <w:rsid w:val="00EF22FB"/>
    <w:rsid w:val="00EF264C"/>
    <w:rsid w:val="00EF3475"/>
    <w:rsid w:val="00EF3FEE"/>
    <w:rsid w:val="00EF4B1F"/>
    <w:rsid w:val="00EF58AF"/>
    <w:rsid w:val="00EF63E0"/>
    <w:rsid w:val="00EF6B41"/>
    <w:rsid w:val="00F02E76"/>
    <w:rsid w:val="00F0341E"/>
    <w:rsid w:val="00F04B59"/>
    <w:rsid w:val="00F07B69"/>
    <w:rsid w:val="00F07D48"/>
    <w:rsid w:val="00F11741"/>
    <w:rsid w:val="00F117B0"/>
    <w:rsid w:val="00F12B1C"/>
    <w:rsid w:val="00F13074"/>
    <w:rsid w:val="00F13CF8"/>
    <w:rsid w:val="00F1432D"/>
    <w:rsid w:val="00F14474"/>
    <w:rsid w:val="00F15855"/>
    <w:rsid w:val="00F17284"/>
    <w:rsid w:val="00F200B2"/>
    <w:rsid w:val="00F21FBF"/>
    <w:rsid w:val="00F227DC"/>
    <w:rsid w:val="00F24318"/>
    <w:rsid w:val="00F244F4"/>
    <w:rsid w:val="00F25326"/>
    <w:rsid w:val="00F263B9"/>
    <w:rsid w:val="00F30701"/>
    <w:rsid w:val="00F32472"/>
    <w:rsid w:val="00F32978"/>
    <w:rsid w:val="00F36852"/>
    <w:rsid w:val="00F36BC1"/>
    <w:rsid w:val="00F41931"/>
    <w:rsid w:val="00F441A3"/>
    <w:rsid w:val="00F44DCA"/>
    <w:rsid w:val="00F45CB2"/>
    <w:rsid w:val="00F468B5"/>
    <w:rsid w:val="00F511F3"/>
    <w:rsid w:val="00F53FEF"/>
    <w:rsid w:val="00F544C0"/>
    <w:rsid w:val="00F55332"/>
    <w:rsid w:val="00F60337"/>
    <w:rsid w:val="00F6156E"/>
    <w:rsid w:val="00F6504A"/>
    <w:rsid w:val="00F65519"/>
    <w:rsid w:val="00F658D4"/>
    <w:rsid w:val="00F66D9F"/>
    <w:rsid w:val="00F67EF0"/>
    <w:rsid w:val="00F713C0"/>
    <w:rsid w:val="00F75DDC"/>
    <w:rsid w:val="00F7792F"/>
    <w:rsid w:val="00F8111E"/>
    <w:rsid w:val="00F842AA"/>
    <w:rsid w:val="00F8476F"/>
    <w:rsid w:val="00F853E1"/>
    <w:rsid w:val="00F85604"/>
    <w:rsid w:val="00F85889"/>
    <w:rsid w:val="00F91280"/>
    <w:rsid w:val="00F93809"/>
    <w:rsid w:val="00F94AA3"/>
    <w:rsid w:val="00F94B7A"/>
    <w:rsid w:val="00FA17AC"/>
    <w:rsid w:val="00FA2D00"/>
    <w:rsid w:val="00FA32DE"/>
    <w:rsid w:val="00FA3382"/>
    <w:rsid w:val="00FA368C"/>
    <w:rsid w:val="00FA40B1"/>
    <w:rsid w:val="00FA5861"/>
    <w:rsid w:val="00FA59CD"/>
    <w:rsid w:val="00FB0CDC"/>
    <w:rsid w:val="00FB1740"/>
    <w:rsid w:val="00FB1B3E"/>
    <w:rsid w:val="00FB4235"/>
    <w:rsid w:val="00FC4446"/>
    <w:rsid w:val="00FC5469"/>
    <w:rsid w:val="00FC6D7D"/>
    <w:rsid w:val="00FD16B0"/>
    <w:rsid w:val="00FD27CE"/>
    <w:rsid w:val="00FD3B00"/>
    <w:rsid w:val="00FD4FED"/>
    <w:rsid w:val="00FD5712"/>
    <w:rsid w:val="00FD75BC"/>
    <w:rsid w:val="00FE00C8"/>
    <w:rsid w:val="00FE0577"/>
    <w:rsid w:val="00FE13CC"/>
    <w:rsid w:val="00FE21A9"/>
    <w:rsid w:val="00FE2FF8"/>
    <w:rsid w:val="00FE4F44"/>
    <w:rsid w:val="00FE564E"/>
    <w:rsid w:val="00FE59EC"/>
    <w:rsid w:val="00FE5B67"/>
    <w:rsid w:val="00FE60D6"/>
    <w:rsid w:val="00FE7B28"/>
    <w:rsid w:val="00FF1965"/>
    <w:rsid w:val="00FF3DB9"/>
    <w:rsid w:val="00FF4046"/>
    <w:rsid w:val="00FF4FF4"/>
    <w:rsid w:val="00FF56C4"/>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EE10E"/>
  <w15:docId w15:val="{1D8AB25F-FC2B-4328-A19E-929221DC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CAF"/>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link w:val="Heading3Char"/>
    <w:qFormat/>
    <w:pPr>
      <w:outlineLvl w:val="2"/>
    </w:p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pPr>
      <w:tabs>
        <w:tab w:val="center" w:pos="4320"/>
        <w:tab w:val="right" w:pos="8640"/>
      </w:tabs>
      <w:jc w:val="both"/>
    </w:pPr>
  </w:style>
  <w:style w:type="paragraph" w:styleId="Footer">
    <w:name w:val="footer"/>
    <w:basedOn w:val="Normal"/>
    <w:link w:val="FooterChar"/>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uiPriority w:val="39"/>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link w:val="DocumentMapChar"/>
    <w:semiHidden/>
    <w:pPr>
      <w:shd w:val="clear" w:color="auto" w:fill="000080"/>
    </w:pPr>
    <w:rPr>
      <w:rFonts w:ascii="Tahoma" w:hAnsi="Tahoma" w:cs="Tahoma"/>
    </w:rPr>
  </w:style>
  <w:style w:type="paragraph" w:styleId="BalloonText">
    <w:name w:val="Balloon Text"/>
    <w:basedOn w:val="Normal"/>
    <w:link w:val="BalloonTextChar"/>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spacing w:after="120"/>
      <w:ind w:firstLine="210"/>
      <w:jc w:val="left"/>
    </w:pPr>
  </w:style>
  <w:style w:type="paragraph" w:styleId="BodyTextIndent">
    <w:name w:val="Body Text Indent"/>
    <w:basedOn w:val="Normal"/>
    <w:link w:val="BodyTextIndentChar"/>
    <w:pPr>
      <w:spacing w:after="120"/>
      <w:ind w:left="360"/>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link w:val="ClosingChar"/>
    <w:pPr>
      <w:ind w:left="4320"/>
    </w:p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Date">
    <w:name w:val="Date"/>
    <w:basedOn w:val="Normal"/>
    <w:next w:val="Normal"/>
    <w:link w:val="DateChar"/>
  </w:style>
  <w:style w:type="paragraph" w:styleId="E-mailSignature">
    <w:name w:val="E-mail Signature"/>
    <w:basedOn w:val="Normal"/>
    <w:link w:val="E-mailSignatureChar"/>
  </w:style>
  <w:style w:type="paragraph" w:styleId="EndnoteText">
    <w:name w:val="endnote text"/>
    <w:basedOn w:val="Normal"/>
    <w:link w:val="EndnoteTextChar"/>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rsid w:val="00555E72"/>
  </w:style>
  <w:style w:type="character" w:styleId="FootnoteReference">
    <w:name w:val="footnote reference"/>
    <w:basedOn w:val="DefaultParagraphFont"/>
    <w:uiPriority w:val="99"/>
    <w:unhideWhenUsed/>
    <w:rsid w:val="00555E72"/>
    <w:rPr>
      <w:vertAlign w:val="superscript"/>
    </w:rPr>
  </w:style>
  <w:style w:type="character" w:customStyle="1" w:styleId="Heading3Char">
    <w:name w:val="Heading 3 Char"/>
    <w:basedOn w:val="DefaultParagraphFont"/>
    <w:link w:val="Heading3"/>
    <w:rsid w:val="00555E72"/>
    <w:rPr>
      <w:sz w:val="24"/>
      <w:szCs w:val="24"/>
    </w:rPr>
  </w:style>
  <w:style w:type="character" w:customStyle="1" w:styleId="Heading4Char">
    <w:name w:val="Heading 4 Char"/>
    <w:basedOn w:val="DefaultParagraphFont"/>
    <w:link w:val="Heading4"/>
    <w:rsid w:val="00555E72"/>
    <w:rPr>
      <w:b/>
      <w:bCs/>
      <w:sz w:val="28"/>
      <w:szCs w:val="28"/>
    </w:rPr>
  </w:style>
  <w:style w:type="character" w:customStyle="1" w:styleId="Heading5Char">
    <w:name w:val="Heading 5 Char"/>
    <w:basedOn w:val="DefaultParagraphFont"/>
    <w:link w:val="Heading5"/>
    <w:rsid w:val="00555E72"/>
    <w:rPr>
      <w:b/>
      <w:bCs/>
      <w:i/>
      <w:iCs/>
      <w:sz w:val="26"/>
      <w:szCs w:val="26"/>
    </w:rPr>
  </w:style>
  <w:style w:type="character" w:customStyle="1" w:styleId="Heading6Char">
    <w:name w:val="Heading 6 Char"/>
    <w:basedOn w:val="DefaultParagraphFont"/>
    <w:link w:val="Heading6"/>
    <w:rsid w:val="00555E72"/>
    <w:rPr>
      <w:b/>
      <w:bCs/>
      <w:sz w:val="22"/>
      <w:szCs w:val="22"/>
    </w:rPr>
  </w:style>
  <w:style w:type="character" w:customStyle="1" w:styleId="Heading7Char">
    <w:name w:val="Heading 7 Char"/>
    <w:basedOn w:val="DefaultParagraphFont"/>
    <w:link w:val="Heading7"/>
    <w:rsid w:val="00555E72"/>
    <w:rPr>
      <w:sz w:val="24"/>
      <w:szCs w:val="24"/>
    </w:rPr>
  </w:style>
  <w:style w:type="character" w:customStyle="1" w:styleId="Heading8Char">
    <w:name w:val="Heading 8 Char"/>
    <w:basedOn w:val="DefaultParagraphFont"/>
    <w:link w:val="Heading8"/>
    <w:rsid w:val="00555E72"/>
    <w:rPr>
      <w:i/>
      <w:iCs/>
      <w:sz w:val="24"/>
      <w:szCs w:val="24"/>
    </w:rPr>
  </w:style>
  <w:style w:type="character" w:customStyle="1" w:styleId="Heading9Char">
    <w:name w:val="Heading 9 Char"/>
    <w:basedOn w:val="DefaultParagraphFont"/>
    <w:link w:val="Heading9"/>
    <w:rsid w:val="00555E72"/>
    <w:rPr>
      <w:rFonts w:ascii="Arial" w:hAnsi="Arial" w:cs="Arial"/>
      <w:sz w:val="22"/>
      <w:szCs w:val="22"/>
    </w:rPr>
  </w:style>
  <w:style w:type="character" w:customStyle="1" w:styleId="HeaderChar">
    <w:name w:val="Header Char"/>
    <w:basedOn w:val="DefaultParagraphFont"/>
    <w:link w:val="Header"/>
    <w:rsid w:val="00555E72"/>
    <w:rPr>
      <w:sz w:val="24"/>
      <w:szCs w:val="24"/>
    </w:rPr>
  </w:style>
  <w:style w:type="character" w:customStyle="1" w:styleId="FooterChar">
    <w:name w:val="Footer Char"/>
    <w:basedOn w:val="DefaultParagraphFont"/>
    <w:link w:val="Footer"/>
    <w:rsid w:val="00555E72"/>
    <w:rPr>
      <w:sz w:val="24"/>
      <w:szCs w:val="24"/>
    </w:rPr>
  </w:style>
  <w:style w:type="character" w:customStyle="1" w:styleId="DocumentMapChar">
    <w:name w:val="Document Map Char"/>
    <w:basedOn w:val="DefaultParagraphFont"/>
    <w:link w:val="DocumentMap"/>
    <w:semiHidden/>
    <w:rsid w:val="00555E72"/>
    <w:rPr>
      <w:rFonts w:ascii="Tahoma" w:hAnsi="Tahoma" w:cs="Tahoma"/>
      <w:sz w:val="24"/>
      <w:szCs w:val="24"/>
      <w:shd w:val="clear" w:color="auto" w:fill="000080"/>
    </w:rPr>
  </w:style>
  <w:style w:type="character" w:customStyle="1" w:styleId="BalloonTextChar">
    <w:name w:val="Balloon Text Char"/>
    <w:basedOn w:val="DefaultParagraphFont"/>
    <w:link w:val="BalloonText"/>
    <w:semiHidden/>
    <w:rsid w:val="00555E72"/>
    <w:rPr>
      <w:rFonts w:ascii="Tahoma" w:hAnsi="Tahoma" w:cs="Tahoma"/>
      <w:sz w:val="16"/>
      <w:szCs w:val="16"/>
    </w:rPr>
  </w:style>
  <w:style w:type="character" w:customStyle="1" w:styleId="BodyText2Char">
    <w:name w:val="Body Text 2 Char"/>
    <w:basedOn w:val="DefaultParagraphFont"/>
    <w:link w:val="BodyText2"/>
    <w:rsid w:val="00555E72"/>
    <w:rPr>
      <w:sz w:val="24"/>
      <w:szCs w:val="24"/>
    </w:rPr>
  </w:style>
  <w:style w:type="character" w:customStyle="1" w:styleId="BodyText3Char">
    <w:name w:val="Body Text 3 Char"/>
    <w:basedOn w:val="DefaultParagraphFont"/>
    <w:link w:val="BodyText3"/>
    <w:rsid w:val="00555E72"/>
    <w:rPr>
      <w:sz w:val="16"/>
      <w:szCs w:val="16"/>
    </w:rPr>
  </w:style>
  <w:style w:type="character" w:customStyle="1" w:styleId="BodyTextFirstIndentChar">
    <w:name w:val="Body Text First Indent Char"/>
    <w:basedOn w:val="BodyTextChar"/>
    <w:link w:val="BodyTextFirstIndent"/>
    <w:rsid w:val="00555E72"/>
    <w:rPr>
      <w:sz w:val="24"/>
      <w:szCs w:val="24"/>
    </w:rPr>
  </w:style>
  <w:style w:type="character" w:customStyle="1" w:styleId="BodyTextIndentChar">
    <w:name w:val="Body Text Indent Char"/>
    <w:basedOn w:val="DefaultParagraphFont"/>
    <w:link w:val="BodyTextIndent"/>
    <w:rsid w:val="00555E72"/>
    <w:rPr>
      <w:sz w:val="24"/>
      <w:szCs w:val="24"/>
    </w:rPr>
  </w:style>
  <w:style w:type="character" w:customStyle="1" w:styleId="BodyTextFirstIndent2Char">
    <w:name w:val="Body Text First Indent 2 Char"/>
    <w:basedOn w:val="BodyTextIndentChar"/>
    <w:link w:val="BodyTextFirstIndent2"/>
    <w:rsid w:val="00555E72"/>
    <w:rPr>
      <w:sz w:val="24"/>
      <w:szCs w:val="24"/>
    </w:rPr>
  </w:style>
  <w:style w:type="character" w:customStyle="1" w:styleId="BodyTextIndent2Char">
    <w:name w:val="Body Text Indent 2 Char"/>
    <w:basedOn w:val="DefaultParagraphFont"/>
    <w:link w:val="BodyTextIndent2"/>
    <w:rsid w:val="00555E72"/>
    <w:rPr>
      <w:sz w:val="24"/>
      <w:szCs w:val="24"/>
    </w:rPr>
  </w:style>
  <w:style w:type="character" w:customStyle="1" w:styleId="BodyTextIndent3Char">
    <w:name w:val="Body Text Indent 3 Char"/>
    <w:basedOn w:val="DefaultParagraphFont"/>
    <w:link w:val="BodyTextIndent3"/>
    <w:rsid w:val="00555E72"/>
    <w:rPr>
      <w:sz w:val="16"/>
      <w:szCs w:val="16"/>
    </w:rPr>
  </w:style>
  <w:style w:type="character" w:customStyle="1" w:styleId="ClosingChar">
    <w:name w:val="Closing Char"/>
    <w:basedOn w:val="DefaultParagraphFont"/>
    <w:link w:val="Closing"/>
    <w:rsid w:val="00555E72"/>
    <w:rPr>
      <w:sz w:val="24"/>
      <w:szCs w:val="24"/>
    </w:rPr>
  </w:style>
  <w:style w:type="character" w:customStyle="1" w:styleId="CommentTextChar">
    <w:name w:val="Comment Text Char"/>
    <w:basedOn w:val="DefaultParagraphFont"/>
    <w:link w:val="CommentText"/>
    <w:semiHidden/>
    <w:rsid w:val="00555E72"/>
  </w:style>
  <w:style w:type="character" w:customStyle="1" w:styleId="CommentSubjectChar">
    <w:name w:val="Comment Subject Char"/>
    <w:basedOn w:val="CommentTextChar"/>
    <w:link w:val="CommentSubject"/>
    <w:semiHidden/>
    <w:rsid w:val="00555E72"/>
    <w:rPr>
      <w:b/>
      <w:bCs/>
    </w:rPr>
  </w:style>
  <w:style w:type="character" w:customStyle="1" w:styleId="DateChar">
    <w:name w:val="Date Char"/>
    <w:basedOn w:val="DefaultParagraphFont"/>
    <w:link w:val="Date"/>
    <w:rsid w:val="00555E72"/>
    <w:rPr>
      <w:sz w:val="24"/>
      <w:szCs w:val="24"/>
    </w:rPr>
  </w:style>
  <w:style w:type="character" w:customStyle="1" w:styleId="E-mailSignatureChar">
    <w:name w:val="E-mail Signature Char"/>
    <w:basedOn w:val="DefaultParagraphFont"/>
    <w:link w:val="E-mailSignature"/>
    <w:rsid w:val="00555E72"/>
    <w:rPr>
      <w:sz w:val="24"/>
      <w:szCs w:val="24"/>
    </w:rPr>
  </w:style>
  <w:style w:type="character" w:customStyle="1" w:styleId="EndnoteTextChar">
    <w:name w:val="Endnote Text Char"/>
    <w:basedOn w:val="DefaultParagraphFont"/>
    <w:link w:val="EndnoteText"/>
    <w:semiHidden/>
    <w:rsid w:val="00555E72"/>
  </w:style>
  <w:style w:type="character" w:customStyle="1" w:styleId="HTMLAddressChar">
    <w:name w:val="HTML Address Char"/>
    <w:basedOn w:val="DefaultParagraphFont"/>
    <w:link w:val="HTMLAddress"/>
    <w:rsid w:val="00555E72"/>
    <w:rPr>
      <w:i/>
      <w:iCs/>
      <w:sz w:val="24"/>
      <w:szCs w:val="24"/>
    </w:rPr>
  </w:style>
  <w:style w:type="character" w:customStyle="1" w:styleId="HTMLPreformattedChar">
    <w:name w:val="HTML Preformatted Char"/>
    <w:basedOn w:val="DefaultParagraphFont"/>
    <w:link w:val="HTMLPreformatted"/>
    <w:rsid w:val="00555E72"/>
    <w:rPr>
      <w:rFonts w:ascii="Courier New" w:hAnsi="Courier New" w:cs="Courier New"/>
    </w:rPr>
  </w:style>
  <w:style w:type="character" w:customStyle="1" w:styleId="MacroTextChar">
    <w:name w:val="Macro Text Char"/>
    <w:basedOn w:val="DefaultParagraphFont"/>
    <w:link w:val="MacroText"/>
    <w:semiHidden/>
    <w:rsid w:val="00555E72"/>
    <w:rPr>
      <w:rFonts w:ascii="Courier New" w:hAnsi="Courier New" w:cs="Courier New"/>
    </w:rPr>
  </w:style>
  <w:style w:type="character" w:customStyle="1" w:styleId="MessageHeaderChar">
    <w:name w:val="Message Header Char"/>
    <w:basedOn w:val="DefaultParagraphFont"/>
    <w:link w:val="MessageHeader"/>
    <w:rsid w:val="00555E72"/>
    <w:rPr>
      <w:rFonts w:ascii="Arial" w:hAnsi="Arial" w:cs="Arial"/>
      <w:sz w:val="24"/>
      <w:szCs w:val="24"/>
      <w:shd w:val="pct20" w:color="auto" w:fill="auto"/>
    </w:rPr>
  </w:style>
  <w:style w:type="character" w:customStyle="1" w:styleId="NoteHeadingChar">
    <w:name w:val="Note Heading Char"/>
    <w:basedOn w:val="DefaultParagraphFont"/>
    <w:link w:val="NoteHeading"/>
    <w:rsid w:val="00555E72"/>
    <w:rPr>
      <w:sz w:val="24"/>
      <w:szCs w:val="24"/>
    </w:rPr>
  </w:style>
  <w:style w:type="character" w:customStyle="1" w:styleId="PlainTextChar">
    <w:name w:val="Plain Text Char"/>
    <w:basedOn w:val="DefaultParagraphFont"/>
    <w:link w:val="PlainText"/>
    <w:rsid w:val="00555E72"/>
    <w:rPr>
      <w:rFonts w:ascii="Courier New" w:hAnsi="Courier New" w:cs="Courier New"/>
    </w:rPr>
  </w:style>
  <w:style w:type="character" w:customStyle="1" w:styleId="SalutationChar">
    <w:name w:val="Salutation Char"/>
    <w:basedOn w:val="DefaultParagraphFont"/>
    <w:link w:val="Salutation"/>
    <w:rsid w:val="00555E72"/>
    <w:rPr>
      <w:sz w:val="24"/>
      <w:szCs w:val="24"/>
    </w:rPr>
  </w:style>
  <w:style w:type="character" w:customStyle="1" w:styleId="SignatureChar">
    <w:name w:val="Signature Char"/>
    <w:basedOn w:val="DefaultParagraphFont"/>
    <w:link w:val="Signature"/>
    <w:rsid w:val="00555E72"/>
    <w:rPr>
      <w:sz w:val="24"/>
      <w:szCs w:val="24"/>
    </w:rPr>
  </w:style>
  <w:style w:type="character" w:customStyle="1" w:styleId="SubtitleChar">
    <w:name w:val="Subtitle Char"/>
    <w:basedOn w:val="DefaultParagraphFont"/>
    <w:link w:val="Subtitle"/>
    <w:rsid w:val="00555E72"/>
    <w:rPr>
      <w:rFonts w:ascii="Arial" w:hAnsi="Arial" w:cs="Arial"/>
      <w:sz w:val="24"/>
      <w:szCs w:val="24"/>
    </w:rPr>
  </w:style>
  <w:style w:type="character" w:customStyle="1" w:styleId="TitleChar">
    <w:name w:val="Title Char"/>
    <w:basedOn w:val="DefaultParagraphFont"/>
    <w:link w:val="Title"/>
    <w:rsid w:val="00555E72"/>
    <w:rPr>
      <w:rFonts w:ascii="Arial" w:hAnsi="Arial" w:cs="Arial"/>
      <w:b/>
      <w:bCs/>
      <w:kern w:val="28"/>
      <w:sz w:val="32"/>
      <w:szCs w:val="32"/>
    </w:rPr>
  </w:style>
  <w:style w:type="table" w:customStyle="1" w:styleId="TableGrid1">
    <w:name w:val="Table Grid1"/>
    <w:basedOn w:val="TableNormal"/>
    <w:next w:val="TableGrid"/>
    <w:uiPriority w:val="59"/>
    <w:rsid w:val="00555E7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E72"/>
    <w:pPr>
      <w:ind w:left="720"/>
      <w:contextualSpacing/>
    </w:pPr>
  </w:style>
  <w:style w:type="table" w:customStyle="1" w:styleId="TableGrid61">
    <w:name w:val="Table Grid61"/>
    <w:basedOn w:val="TableNormal"/>
    <w:next w:val="TableGrid"/>
    <w:uiPriority w:val="59"/>
    <w:rsid w:val="00555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5E72"/>
    <w:rPr>
      <w:sz w:val="16"/>
      <w:szCs w:val="16"/>
    </w:rPr>
  </w:style>
  <w:style w:type="character" w:styleId="FollowedHyperlink">
    <w:name w:val="FollowedHyperlink"/>
    <w:basedOn w:val="DefaultParagraphFont"/>
    <w:semiHidden/>
    <w:unhideWhenUsed/>
    <w:rsid w:val="00555E72"/>
    <w:rPr>
      <w:color w:val="800080" w:themeColor="followedHyperlink"/>
      <w:u w:val="single"/>
    </w:rPr>
  </w:style>
  <w:style w:type="paragraph" w:styleId="Revision">
    <w:name w:val="Revision"/>
    <w:hidden/>
    <w:uiPriority w:val="99"/>
    <w:semiHidden/>
    <w:rsid w:val="00555E72"/>
    <w:rPr>
      <w:sz w:val="24"/>
      <w:szCs w:val="24"/>
    </w:rPr>
  </w:style>
  <w:style w:type="character" w:styleId="Emphasis">
    <w:name w:val="Emphasis"/>
    <w:basedOn w:val="DefaultParagraphFont"/>
    <w:qFormat/>
    <w:rsid w:val="008906AB"/>
    <w:rPr>
      <w:i/>
      <w:iCs/>
    </w:rPr>
  </w:style>
  <w:style w:type="character" w:styleId="UnresolvedMention">
    <w:name w:val="Unresolved Mention"/>
    <w:basedOn w:val="DefaultParagraphFont"/>
    <w:uiPriority w:val="99"/>
    <w:semiHidden/>
    <w:unhideWhenUsed/>
    <w:rsid w:val="002731E9"/>
    <w:rPr>
      <w:color w:val="605E5C"/>
      <w:shd w:val="clear" w:color="auto" w:fill="E1DFDD"/>
    </w:rPr>
  </w:style>
  <w:style w:type="table" w:customStyle="1" w:styleId="TableGrid12">
    <w:name w:val="Table Grid12"/>
    <w:basedOn w:val="TableNormal"/>
    <w:next w:val="TableGrid"/>
    <w:uiPriority w:val="59"/>
    <w:rsid w:val="00F36B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8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7.emf"/><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header" Target="header10.xml"/><Relationship Id="rId30" Type="http://schemas.openxmlformats.org/officeDocument/2006/relationships/image" Target="media/image8.emf"/><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quickfacts/fact/table/lakecountyflorida/HSD3102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3729-6F80-4EB2-8767-BB5275EC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41</Pages>
  <Words>10616</Words>
  <Characters>60513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Brian Lenberg</dc:creator>
  <cp:lastModifiedBy>Adam Teitzman</cp:lastModifiedBy>
  <cp:revision>3</cp:revision>
  <cp:lastPrinted>2026-07-21T17:49:00Z</cp:lastPrinted>
  <dcterms:created xsi:type="dcterms:W3CDTF">2026-07-23T12:54:00Z</dcterms:created>
  <dcterms:modified xsi:type="dcterms:W3CDTF">2026-07-23T13:38:00Z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20250108-WS</vt:lpwstr>
  </property>
</Properties>
</file>