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03554" w14:textId="4EC65C62" w:rsidR="002E198C" w:rsidRDefault="002E198C" w:rsidP="002E198C">
      <w:pPr>
        <w:pStyle w:val="OrderHeading"/>
      </w:pPr>
      <w:r>
        <w:t>BEFORE THE FLORIDA PUBLIC SERVICE COMMISSION</w:t>
      </w:r>
    </w:p>
    <w:p w14:paraId="229E2642" w14:textId="77777777" w:rsidR="002E198C" w:rsidRDefault="002E198C" w:rsidP="002E198C">
      <w:pPr>
        <w:pStyle w:val="OrderBody"/>
      </w:pPr>
    </w:p>
    <w:p w14:paraId="1B43D349" w14:textId="77777777" w:rsidR="002E198C" w:rsidRDefault="002E198C" w:rsidP="002E198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E198C" w:rsidRPr="00C63FCF" w14:paraId="1418ABBC" w14:textId="77777777" w:rsidTr="00C63FCF">
        <w:trPr>
          <w:trHeight w:val="828"/>
        </w:trPr>
        <w:tc>
          <w:tcPr>
            <w:tcW w:w="4788" w:type="dxa"/>
            <w:tcBorders>
              <w:bottom w:val="single" w:sz="8" w:space="0" w:color="auto"/>
              <w:right w:val="double" w:sz="6" w:space="0" w:color="auto"/>
            </w:tcBorders>
            <w:shd w:val="clear" w:color="auto" w:fill="auto"/>
          </w:tcPr>
          <w:p w14:paraId="140D4514" w14:textId="45D5A866" w:rsidR="002E198C" w:rsidRDefault="002E198C" w:rsidP="00C63FCF">
            <w:pPr>
              <w:pStyle w:val="OrderBody"/>
              <w:tabs>
                <w:tab w:val="center" w:pos="4320"/>
                <w:tab w:val="right" w:pos="8640"/>
              </w:tabs>
              <w:jc w:val="left"/>
            </w:pPr>
            <w:r>
              <w:t xml:space="preserve">In re: </w:t>
            </w:r>
            <w:bookmarkStart w:id="0" w:name="SSInRe"/>
            <w:bookmarkEnd w:id="0"/>
            <w:r>
              <w:t>Application for rate increase by Florida City Gas.</w:t>
            </w:r>
          </w:p>
        </w:tc>
        <w:tc>
          <w:tcPr>
            <w:tcW w:w="4788" w:type="dxa"/>
            <w:tcBorders>
              <w:left w:val="double" w:sz="6" w:space="0" w:color="auto"/>
            </w:tcBorders>
            <w:shd w:val="clear" w:color="auto" w:fill="auto"/>
          </w:tcPr>
          <w:p w14:paraId="5C1FD486" w14:textId="30AA2CC5" w:rsidR="002E198C" w:rsidRDefault="002E198C" w:rsidP="002E198C">
            <w:pPr>
              <w:pStyle w:val="OrderBody"/>
            </w:pPr>
            <w:r>
              <w:t xml:space="preserve">DOCKET NO. </w:t>
            </w:r>
            <w:bookmarkStart w:id="1" w:name="SSDocketNo"/>
            <w:bookmarkEnd w:id="1"/>
            <w:r>
              <w:t>20260026-GU</w:t>
            </w:r>
          </w:p>
          <w:p w14:paraId="4C2904BA" w14:textId="00CE827F" w:rsidR="002E198C" w:rsidRDefault="002E198C" w:rsidP="00C63FCF">
            <w:pPr>
              <w:pStyle w:val="OrderBody"/>
              <w:tabs>
                <w:tab w:val="center" w:pos="4320"/>
                <w:tab w:val="right" w:pos="8640"/>
              </w:tabs>
              <w:jc w:val="left"/>
            </w:pPr>
            <w:r>
              <w:t xml:space="preserve">ORDER NO. </w:t>
            </w:r>
            <w:bookmarkStart w:id="2" w:name="OrderNo0258"/>
            <w:r w:rsidR="009A573F">
              <w:t>PSC-2026-0258-PCO-GU</w:t>
            </w:r>
            <w:bookmarkEnd w:id="2"/>
          </w:p>
          <w:p w14:paraId="5CA72A90" w14:textId="6025CE28" w:rsidR="002E198C" w:rsidRDefault="002E198C" w:rsidP="00C63FCF">
            <w:pPr>
              <w:pStyle w:val="OrderBody"/>
              <w:tabs>
                <w:tab w:val="center" w:pos="4320"/>
                <w:tab w:val="right" w:pos="8640"/>
              </w:tabs>
              <w:jc w:val="left"/>
            </w:pPr>
            <w:r>
              <w:t xml:space="preserve">ISSUED: </w:t>
            </w:r>
            <w:r w:rsidR="009A573F">
              <w:t>July 24, 2026</w:t>
            </w:r>
          </w:p>
        </w:tc>
      </w:tr>
    </w:tbl>
    <w:p w14:paraId="48630F6F" w14:textId="11810179" w:rsidR="00CB5276" w:rsidRDefault="00D611DF" w:rsidP="002E198C">
      <w:r>
        <w:t xml:space="preserve"> </w:t>
      </w:r>
      <w:bookmarkStart w:id="3" w:name="Commissioners"/>
      <w:bookmarkEnd w:id="3"/>
    </w:p>
    <w:p w14:paraId="6BD6A2F0" w14:textId="77777777" w:rsidR="002E198C" w:rsidRPr="008D1D5C" w:rsidRDefault="002E198C" w:rsidP="008D1D5C">
      <w:pPr>
        <w:spacing w:line="276" w:lineRule="auto"/>
        <w:jc w:val="center"/>
        <w:rPr>
          <w:rFonts w:eastAsiaTheme="minorHAnsi" w:cstheme="minorBidi"/>
          <w:szCs w:val="22"/>
        </w:rPr>
      </w:pPr>
      <w:r w:rsidRPr="008D1D5C">
        <w:rPr>
          <w:rFonts w:eastAsiaTheme="minorHAnsi" w:cstheme="minorBidi"/>
          <w:szCs w:val="22"/>
        </w:rPr>
        <w:t xml:space="preserve">The following Commissioners participated in the disposition of this matter: </w:t>
      </w:r>
    </w:p>
    <w:p w14:paraId="2435CF25" w14:textId="77777777" w:rsidR="002E198C" w:rsidRPr="008D1D5C" w:rsidRDefault="002E198C" w:rsidP="008D1D5C">
      <w:pPr>
        <w:spacing w:line="276" w:lineRule="auto"/>
        <w:jc w:val="center"/>
        <w:rPr>
          <w:rFonts w:eastAsiaTheme="minorHAnsi" w:cstheme="minorBidi"/>
          <w:szCs w:val="22"/>
        </w:rPr>
      </w:pPr>
    </w:p>
    <w:p w14:paraId="3F587EF4" w14:textId="039FE20B" w:rsidR="002E198C" w:rsidRPr="008D1D5C" w:rsidRDefault="002E198C"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410B3F8A" w14:textId="27AF7738" w:rsidR="002E198C" w:rsidRPr="004A5E80" w:rsidRDefault="002E198C" w:rsidP="008D1D5C">
      <w:pPr>
        <w:spacing w:line="276" w:lineRule="auto"/>
        <w:jc w:val="center"/>
        <w:rPr>
          <w:rFonts w:eastAsiaTheme="minorHAnsi"/>
          <w:szCs w:val="22"/>
        </w:rPr>
      </w:pPr>
      <w:r>
        <w:rPr>
          <w:rFonts w:eastAsiaTheme="minorHAnsi" w:cstheme="minorBidi"/>
          <w:szCs w:val="22"/>
        </w:rPr>
        <w:t>GARY F. CLA</w:t>
      </w:r>
      <w:r w:rsidRPr="004A5E80">
        <w:rPr>
          <w:rFonts w:eastAsiaTheme="minorHAnsi"/>
          <w:szCs w:val="22"/>
        </w:rPr>
        <w:t>RK</w:t>
      </w:r>
    </w:p>
    <w:p w14:paraId="6791765C" w14:textId="117D742A" w:rsidR="002E198C" w:rsidRPr="004A5E80" w:rsidRDefault="002E198C" w:rsidP="008D1D5C">
      <w:pPr>
        <w:spacing w:line="276" w:lineRule="auto"/>
        <w:jc w:val="center"/>
        <w:rPr>
          <w:rFonts w:eastAsiaTheme="minorHAnsi"/>
          <w:szCs w:val="22"/>
        </w:rPr>
      </w:pPr>
      <w:r w:rsidRPr="004A5E80">
        <w:rPr>
          <w:rFonts w:eastAsiaTheme="minorHAnsi"/>
          <w:szCs w:val="22"/>
        </w:rPr>
        <w:t>MIKE LA ROSA</w:t>
      </w:r>
    </w:p>
    <w:p w14:paraId="52769078" w14:textId="14DE3A6A" w:rsidR="002E198C" w:rsidRPr="004A5E80" w:rsidRDefault="002E198C" w:rsidP="008D1D5C">
      <w:pPr>
        <w:spacing w:line="276" w:lineRule="auto"/>
        <w:jc w:val="center"/>
        <w:rPr>
          <w:rFonts w:eastAsiaTheme="minorHAnsi"/>
          <w:szCs w:val="22"/>
        </w:rPr>
      </w:pPr>
      <w:r w:rsidRPr="004A5E80">
        <w:rPr>
          <w:rFonts w:eastAsiaTheme="minorHAnsi"/>
          <w:szCs w:val="22"/>
        </w:rPr>
        <w:t>BOBBY PAYNE</w:t>
      </w:r>
    </w:p>
    <w:p w14:paraId="29913EC3" w14:textId="2C73AF1A" w:rsidR="002E198C" w:rsidRPr="004A5E80" w:rsidRDefault="002E198C" w:rsidP="008D1D5C">
      <w:pPr>
        <w:spacing w:line="276" w:lineRule="auto"/>
        <w:jc w:val="center"/>
        <w:rPr>
          <w:rFonts w:eastAsiaTheme="minorHAnsi"/>
          <w:szCs w:val="22"/>
        </w:rPr>
      </w:pPr>
      <w:r w:rsidRPr="004A5E80">
        <w:rPr>
          <w:rFonts w:eastAsiaTheme="minorHAnsi"/>
          <w:szCs w:val="22"/>
        </w:rPr>
        <w:t>ANA ORTEGA</w:t>
      </w:r>
    </w:p>
    <w:p w14:paraId="1B53EDE4" w14:textId="77777777" w:rsidR="00CB5276" w:rsidRPr="004A5E80" w:rsidRDefault="00CB5276">
      <w:pPr>
        <w:pStyle w:val="OrderBody"/>
      </w:pPr>
    </w:p>
    <w:p w14:paraId="7480934D" w14:textId="359D4067" w:rsidR="002E198C" w:rsidRPr="004A5E80" w:rsidRDefault="002E198C" w:rsidP="002E198C">
      <w:pPr>
        <w:pStyle w:val="CenterUnderline"/>
      </w:pPr>
      <w:r w:rsidRPr="004A5E80">
        <w:t>ORDER</w:t>
      </w:r>
      <w:r w:rsidR="00F711C2">
        <w:t xml:space="preserve"> GRANTING INTERIM RATES</w:t>
      </w:r>
    </w:p>
    <w:p w14:paraId="7B065D69" w14:textId="77777777" w:rsidR="002E198C" w:rsidRPr="004A5E80" w:rsidRDefault="002E198C" w:rsidP="002E198C">
      <w:pPr>
        <w:pStyle w:val="CenterUnderline"/>
      </w:pPr>
    </w:p>
    <w:p w14:paraId="6514E4C5" w14:textId="6D9950B3" w:rsidR="002E198C" w:rsidRPr="004A5E80" w:rsidRDefault="002E198C" w:rsidP="002E198C">
      <w:pPr>
        <w:pStyle w:val="OrderBody"/>
      </w:pPr>
      <w:r w:rsidRPr="004A5E80">
        <w:t>BY THE COMMISSION:</w:t>
      </w:r>
    </w:p>
    <w:p w14:paraId="4E356CDB" w14:textId="77777777" w:rsidR="002E198C" w:rsidRPr="004A5E80" w:rsidRDefault="002E198C" w:rsidP="002E198C">
      <w:pPr>
        <w:pStyle w:val="OrderBody"/>
      </w:pPr>
    </w:p>
    <w:p w14:paraId="06F99898" w14:textId="4E29074A" w:rsidR="002E198C" w:rsidRPr="004A5E80" w:rsidRDefault="002E198C" w:rsidP="002E198C">
      <w:pPr>
        <w:keepNext/>
        <w:spacing w:after="240"/>
        <w:jc w:val="center"/>
        <w:outlineLvl w:val="0"/>
        <w:rPr>
          <w:kern w:val="32"/>
          <w:szCs w:val="32"/>
          <w:u w:val="single"/>
        </w:rPr>
      </w:pPr>
      <w:bookmarkStart w:id="4" w:name="OrderText"/>
      <w:bookmarkEnd w:id="4"/>
      <w:r w:rsidRPr="004A5E80">
        <w:rPr>
          <w:kern w:val="32"/>
          <w:szCs w:val="32"/>
          <w:u w:val="single"/>
        </w:rPr>
        <w:t>Background</w:t>
      </w:r>
    </w:p>
    <w:p w14:paraId="305FC4FA" w14:textId="5B5F6811" w:rsidR="002E198C" w:rsidRPr="004A5E80" w:rsidRDefault="002E198C" w:rsidP="00A84E8B">
      <w:pPr>
        <w:spacing w:after="240"/>
        <w:ind w:firstLine="720"/>
        <w:jc w:val="both"/>
      </w:pPr>
      <w:r w:rsidRPr="004A5E80">
        <w:t xml:space="preserve">On April 20, 2026, Florida City Gas (FCG or Company) filed a petition seeking </w:t>
      </w:r>
      <w:r w:rsidR="004A5E80">
        <w:t>our</w:t>
      </w:r>
      <w:r w:rsidRPr="004A5E80">
        <w:t xml:space="preserve"> approval of a rate increase and associated request for interim rate relief. FCG is a natural gas local distribution company providing sales and transportation of natural gas and is a public utility subject to </w:t>
      </w:r>
      <w:r w:rsidR="004A5E80">
        <w:t>our</w:t>
      </w:r>
      <w:r w:rsidRPr="004A5E80">
        <w:t xml:space="preserve"> regulatory jurisdiction under Section 366.02, Florida Statutes (F.S.). As a subsidiary of Chesapeake Utilities Corporation, FCG currently serves approximately 125,000 residential, commercial, and industrial natural gas customers in Miami-Dade, Broward, St. Lucie, Indian River, Brevard, Palm Beach, Hendry, and Martin counties. The Company’s last rate case was filed on May 31, 2022, and rates were last established by order on June 9, 2023, and as subsequently clarified on October 2, 2023.</w:t>
      </w:r>
      <w:r w:rsidRPr="004A5E80">
        <w:rPr>
          <w:vertAlign w:val="superscript"/>
        </w:rPr>
        <w:footnoteReference w:id="1"/>
      </w:r>
      <w:r w:rsidRPr="004A5E80">
        <w:t xml:space="preserve"> </w:t>
      </w:r>
    </w:p>
    <w:p w14:paraId="651488C7" w14:textId="5988A8A3" w:rsidR="002E198C" w:rsidRPr="004A5E80" w:rsidRDefault="002E198C" w:rsidP="00A84E8B">
      <w:pPr>
        <w:autoSpaceDE w:val="0"/>
        <w:autoSpaceDN w:val="0"/>
        <w:adjustRightInd w:val="0"/>
        <w:ind w:firstLine="720"/>
        <w:jc w:val="both"/>
      </w:pPr>
      <w:r w:rsidRPr="004A5E80">
        <w:t xml:space="preserve">FCG requested </w:t>
      </w:r>
      <w:r w:rsidRPr="004A5E80">
        <w:rPr>
          <w:rFonts w:eastAsia="InvisibleOCR"/>
        </w:rPr>
        <w:t>a total base revenue increase of $63.3 million based on a projected 2027 Test Year, which includes an incremental base rate revenue requirement of $46.9 million, and the reclassification of the Safety, Access, and Facility Enhancement program revenues in the amount of $16.4 million from surcharge recovery to base rates, which is ultimately revenue neutral</w:t>
      </w:r>
      <w:r w:rsidRPr="004A5E80">
        <w:t xml:space="preserve">. Pursuant to Sections 366.06(2) and (4), F.S., FCG requested that this rate case proceed under </w:t>
      </w:r>
      <w:r w:rsidR="004A5E80">
        <w:t xml:space="preserve">our </w:t>
      </w:r>
      <w:r w:rsidRPr="004A5E80">
        <w:t xml:space="preserve">hearing process. </w:t>
      </w:r>
    </w:p>
    <w:p w14:paraId="5FD031F4" w14:textId="77777777" w:rsidR="002E198C" w:rsidRPr="004A5E80" w:rsidRDefault="002E198C" w:rsidP="002E198C">
      <w:pPr>
        <w:autoSpaceDE w:val="0"/>
        <w:autoSpaceDN w:val="0"/>
        <w:adjustRightInd w:val="0"/>
        <w:jc w:val="both"/>
      </w:pPr>
    </w:p>
    <w:p w14:paraId="51193A8D" w14:textId="205FBF30" w:rsidR="002E198C" w:rsidRPr="004A5E80" w:rsidRDefault="002E198C" w:rsidP="00A84E8B">
      <w:pPr>
        <w:autoSpaceDE w:val="0"/>
        <w:autoSpaceDN w:val="0"/>
        <w:adjustRightInd w:val="0"/>
        <w:ind w:firstLine="720"/>
        <w:jc w:val="both"/>
      </w:pPr>
      <w:r w:rsidRPr="004A5E80">
        <w:t xml:space="preserve">On June 2, 2026, </w:t>
      </w:r>
      <w:r w:rsidR="005C68AB">
        <w:t xml:space="preserve">we </w:t>
      </w:r>
      <w:r w:rsidRPr="004A5E80">
        <w:t xml:space="preserve">suspended the proposed permanent increase in rates and charges to allow staff and the parties time to analyze the request and for </w:t>
      </w:r>
      <w:r w:rsidR="005C68AB">
        <w:t>us</w:t>
      </w:r>
      <w:r w:rsidRPr="004A5E80">
        <w:t xml:space="preserve"> to conduct an administrative hearing.</w:t>
      </w:r>
      <w:r w:rsidRPr="004A5E80">
        <w:rPr>
          <w:vertAlign w:val="superscript"/>
        </w:rPr>
        <w:footnoteReference w:id="2"/>
      </w:r>
    </w:p>
    <w:p w14:paraId="15A2E0F8" w14:textId="45DBE02A" w:rsidR="002E198C" w:rsidRPr="004A5E80" w:rsidRDefault="002E198C" w:rsidP="00A84E8B">
      <w:pPr>
        <w:autoSpaceDE w:val="0"/>
        <w:autoSpaceDN w:val="0"/>
        <w:adjustRightInd w:val="0"/>
        <w:ind w:firstLine="720"/>
        <w:jc w:val="both"/>
      </w:pPr>
      <w:r w:rsidRPr="004A5E80">
        <w:lastRenderedPageBreak/>
        <w:t xml:space="preserve">This </w:t>
      </w:r>
      <w:r w:rsidR="005C68AB">
        <w:t>Order</w:t>
      </w:r>
      <w:r w:rsidRPr="004A5E80">
        <w:t xml:space="preserve"> addresses FCG’s requested interim rate increase in its base rates and charges to generate $16,244,207 in additional gross revenues until the permanent rates become effective.  The Company has based its interim request on a historical test year which ended December 31, 2025. In its petition, FCG stated that it will hold any revenues collected, subject to refund, with interest at a rate determined pursuant to Rule 25-</w:t>
      </w:r>
      <w:r w:rsidR="00EA2BA4">
        <w:t>7.040</w:t>
      </w:r>
      <w:r w:rsidRPr="004A5E80">
        <w:t>(3), Florida Administrative Code (F.A.C.), and that it be allowed to collect the interim increase subject to a corporate undertaking.</w:t>
      </w:r>
    </w:p>
    <w:p w14:paraId="249D4151" w14:textId="77777777" w:rsidR="002E198C" w:rsidRPr="004A5E80" w:rsidRDefault="002E198C" w:rsidP="002E198C">
      <w:pPr>
        <w:autoSpaceDE w:val="0"/>
        <w:autoSpaceDN w:val="0"/>
        <w:adjustRightInd w:val="0"/>
        <w:jc w:val="both"/>
      </w:pPr>
    </w:p>
    <w:p w14:paraId="3FDF953F" w14:textId="5DB70F23" w:rsidR="002E198C" w:rsidRPr="004A5E80" w:rsidRDefault="002E198C" w:rsidP="00A84E8B">
      <w:pPr>
        <w:spacing w:after="240"/>
        <w:ind w:firstLine="720"/>
        <w:jc w:val="both"/>
      </w:pPr>
      <w:r w:rsidRPr="004A5E80">
        <w:t xml:space="preserve">On February 20, 2026, </w:t>
      </w:r>
      <w:r w:rsidR="005C68AB">
        <w:t>we</w:t>
      </w:r>
      <w:r w:rsidRPr="004A5E80">
        <w:t xml:space="preserve"> acknowledged the Office of Public Counsel’s (OPC) Notice of Intervention in this proceeding.</w:t>
      </w:r>
      <w:r w:rsidRPr="004A5E80">
        <w:rPr>
          <w:vertAlign w:val="superscript"/>
        </w:rPr>
        <w:footnoteReference w:id="3"/>
      </w:r>
      <w:r w:rsidRPr="004A5E80">
        <w:t xml:space="preserve"> In compliance with Section 366.06(2), F.S., an administrative hearing has been scheduled for September 28 – October 2, 2026.</w:t>
      </w:r>
    </w:p>
    <w:p w14:paraId="7DDA1220" w14:textId="342777B3" w:rsidR="00CB5276" w:rsidRPr="004A5E80" w:rsidRDefault="004A5E80" w:rsidP="00A84E8B">
      <w:pPr>
        <w:pStyle w:val="OrderBody"/>
        <w:ind w:firstLine="720"/>
      </w:pPr>
      <w:r>
        <w:t>We have</w:t>
      </w:r>
      <w:r w:rsidR="002E198C" w:rsidRPr="004A5E80">
        <w:t xml:space="preserve"> jurisdiction over this request under Sections 366.06 and 367.071, F.S.</w:t>
      </w:r>
    </w:p>
    <w:p w14:paraId="372D0D16" w14:textId="77777777" w:rsidR="002E198C" w:rsidRPr="004A5E80" w:rsidRDefault="002E198C" w:rsidP="002E198C">
      <w:pPr>
        <w:pStyle w:val="OrderBody"/>
      </w:pPr>
    </w:p>
    <w:p w14:paraId="4E6ABC6F" w14:textId="6E6724BE" w:rsidR="002E198C" w:rsidRPr="004A5E80" w:rsidRDefault="004A5E80" w:rsidP="002E198C">
      <w:pPr>
        <w:keepNext/>
        <w:spacing w:after="240"/>
        <w:jc w:val="center"/>
        <w:outlineLvl w:val="0"/>
        <w:rPr>
          <w:kern w:val="32"/>
          <w:szCs w:val="32"/>
          <w:u w:val="single"/>
        </w:rPr>
      </w:pPr>
      <w:bookmarkStart w:id="5" w:name="DiscussionOfIssues"/>
      <w:r>
        <w:rPr>
          <w:kern w:val="32"/>
          <w:szCs w:val="32"/>
          <w:u w:val="single"/>
        </w:rPr>
        <w:t>Decision</w:t>
      </w:r>
    </w:p>
    <w:bookmarkEnd w:id="5"/>
    <w:p w14:paraId="76079AAF" w14:textId="49B0976D" w:rsidR="00941AFE" w:rsidRPr="00941AFE" w:rsidRDefault="00941AFE" w:rsidP="00941AFE">
      <w:pPr>
        <w:autoSpaceDE w:val="0"/>
        <w:autoSpaceDN w:val="0"/>
        <w:adjustRightInd w:val="0"/>
        <w:jc w:val="both"/>
        <w:rPr>
          <w:u w:val="single"/>
        </w:rPr>
      </w:pPr>
      <w:r>
        <w:rPr>
          <w:u w:val="single"/>
        </w:rPr>
        <w:t>Interim Rate Base</w:t>
      </w:r>
    </w:p>
    <w:p w14:paraId="78C9ABA0" w14:textId="77777777" w:rsidR="00941AFE" w:rsidRDefault="00941AFE" w:rsidP="00D91AB4">
      <w:pPr>
        <w:autoSpaceDE w:val="0"/>
        <w:autoSpaceDN w:val="0"/>
        <w:adjustRightInd w:val="0"/>
        <w:ind w:firstLine="720"/>
        <w:jc w:val="both"/>
      </w:pPr>
    </w:p>
    <w:p w14:paraId="1FE4F3CB" w14:textId="1CC626C2" w:rsidR="002E198C" w:rsidRPr="004A5E80" w:rsidRDefault="002E198C" w:rsidP="00D91AB4">
      <w:pPr>
        <w:autoSpaceDE w:val="0"/>
        <w:autoSpaceDN w:val="0"/>
        <w:adjustRightInd w:val="0"/>
        <w:ind w:firstLine="720"/>
        <w:jc w:val="both"/>
      </w:pPr>
      <w:r w:rsidRPr="004A5E80">
        <w:t xml:space="preserve">In its filing, the Company proposed an interim year-end rate base to determine interim rates of $551,813,687 for the period ending on December 31, 2025. Pursuant to Section 366.071(5)(a), F.S., the Company is permitted to use either an average investment rate base or an end-of-period investment rate base for the purposes of setting interim rates. </w:t>
      </w:r>
      <w:r w:rsidR="00FA72EA">
        <w:t>We</w:t>
      </w:r>
      <w:r w:rsidRPr="004A5E80">
        <w:t xml:space="preserve"> reviewed the rate base adjustments made in the current interim filing for consistency with the approved adjustments in FCG’s last rate case proceeding, where appropriate, as well as other applicable dockets.</w:t>
      </w:r>
      <w:r w:rsidRPr="004A5E80">
        <w:rPr>
          <w:vertAlign w:val="superscript"/>
        </w:rPr>
        <w:footnoteReference w:id="4"/>
      </w:r>
      <w:r w:rsidRPr="004A5E80">
        <w:rPr>
          <w:sz w:val="16"/>
          <w:szCs w:val="16"/>
        </w:rPr>
        <w:t xml:space="preserve"> </w:t>
      </w:r>
      <w:r w:rsidRPr="004A5E80">
        <w:t xml:space="preserve">Based on </w:t>
      </w:r>
      <w:r w:rsidR="00FA72EA">
        <w:t>our</w:t>
      </w:r>
      <w:r w:rsidRPr="004A5E80">
        <w:t xml:space="preserve"> review, it appears that the Company made applicable adjustments that are consistent with </w:t>
      </w:r>
      <w:r w:rsidR="00FA72EA">
        <w:t>our</w:t>
      </w:r>
      <w:r w:rsidRPr="004A5E80">
        <w:t xml:space="preserve"> </w:t>
      </w:r>
      <w:r w:rsidR="00FA72EA">
        <w:t>prior o</w:t>
      </w:r>
      <w:r w:rsidRPr="004A5E80">
        <w:t xml:space="preserve">rders. </w:t>
      </w:r>
    </w:p>
    <w:p w14:paraId="2D696C25" w14:textId="77777777" w:rsidR="002E198C" w:rsidRPr="004A5E80" w:rsidRDefault="002E198C" w:rsidP="002E198C">
      <w:pPr>
        <w:autoSpaceDE w:val="0"/>
        <w:autoSpaceDN w:val="0"/>
        <w:adjustRightInd w:val="0"/>
        <w:jc w:val="both"/>
      </w:pPr>
    </w:p>
    <w:p w14:paraId="1A054B25" w14:textId="5E0CA2AC" w:rsidR="002E198C" w:rsidRDefault="002E198C" w:rsidP="00A84E8B">
      <w:pPr>
        <w:pStyle w:val="OrderBody"/>
        <w:ind w:firstLine="720"/>
      </w:pPr>
      <w:r w:rsidRPr="004A5E80">
        <w:t xml:space="preserve">As such, </w:t>
      </w:r>
      <w:r w:rsidR="005C68AB">
        <w:t>we find</w:t>
      </w:r>
      <w:r w:rsidRPr="004A5E80">
        <w:t xml:space="preserve"> that $551,813,687 is the appropriate amount of rate base for the historical interim test year ended December 31, 2025. The calculations are shown on Attachment A.</w:t>
      </w:r>
    </w:p>
    <w:p w14:paraId="2AFD800C" w14:textId="77777777" w:rsidR="00941AFE" w:rsidRDefault="00941AFE" w:rsidP="00941AFE">
      <w:pPr>
        <w:pStyle w:val="OrderBody"/>
      </w:pPr>
    </w:p>
    <w:p w14:paraId="0358126E" w14:textId="41185C4D" w:rsidR="00941AFE" w:rsidRPr="00941AFE" w:rsidRDefault="00941AFE" w:rsidP="00941AFE">
      <w:pPr>
        <w:pStyle w:val="OrderBody"/>
        <w:rPr>
          <w:u w:val="single"/>
        </w:rPr>
      </w:pPr>
      <w:r>
        <w:rPr>
          <w:u w:val="single"/>
        </w:rPr>
        <w:t>Interim Return on Equity and Overall Cost of Capital</w:t>
      </w:r>
    </w:p>
    <w:p w14:paraId="53DB9459" w14:textId="77777777" w:rsidR="002E198C" w:rsidRPr="004A5E80" w:rsidRDefault="002E198C" w:rsidP="002E198C">
      <w:pPr>
        <w:pStyle w:val="OrderBody"/>
      </w:pPr>
    </w:p>
    <w:p w14:paraId="63095033" w14:textId="3E271A8E" w:rsidR="002E198C" w:rsidRPr="004A5E80" w:rsidRDefault="002E198C" w:rsidP="00941AFE">
      <w:pPr>
        <w:spacing w:after="240"/>
        <w:ind w:firstLine="720"/>
        <w:jc w:val="both"/>
      </w:pPr>
      <w:r w:rsidRPr="004A5E80">
        <w:t>For purposes of its interim rate request, FCG used a weighted average cost of capital of 7.16 percent based on a return on equity (ROE) of 8.50 percent. Pursuant to Section 366.071(5)(b)3., F.S., the appropriate ROE for purposes of determining an interim rate increase is the minimum of the range of the Company’s last authorized ROE established in the most recent rate proceeding. In its last rate case, FCG’s ROE midpoint was set at 9.50 percent, with a range of plus or minus 100 basis points.</w:t>
      </w:r>
      <w:r w:rsidRPr="004A5E80">
        <w:rPr>
          <w:vertAlign w:val="superscript"/>
        </w:rPr>
        <w:footnoteReference w:id="5"/>
      </w:r>
      <w:r w:rsidRPr="004A5E80">
        <w:t xml:space="preserve"> FCG correctly reflected an ROE of 8.50 percent in its calculation of the overall rate of return.</w:t>
      </w:r>
    </w:p>
    <w:p w14:paraId="7756A66A" w14:textId="77777777" w:rsidR="002E198C" w:rsidRPr="004A5E80" w:rsidRDefault="002E198C" w:rsidP="00A84E8B">
      <w:pPr>
        <w:spacing w:after="240"/>
        <w:ind w:firstLine="720"/>
        <w:jc w:val="both"/>
      </w:pPr>
      <w:r w:rsidRPr="004A5E80">
        <w:lastRenderedPageBreak/>
        <w:t>Consistent with Section 366.071(5)(a), F.S., the Company used an end-of-year capital structure based on the most recent 12-month period ended December 31, 2025, to calculate the weighted average cost of capital as reflected in MFR Schedule F-8. In FCG’s most recent rate case proceeding in 2022, the capital structure was based on Florida Power &amp; Light Company’s (FPL) capital structure.</w:t>
      </w:r>
      <w:r w:rsidRPr="004A5E80">
        <w:rPr>
          <w:vertAlign w:val="superscript"/>
        </w:rPr>
        <w:footnoteReference w:id="6"/>
      </w:r>
      <w:r w:rsidRPr="004A5E80">
        <w:t xml:space="preserve"> Since the last rate proceeding, FCG was purchased by Chesapeake Utilities Corporation (CUC) which has a different capital structure than FPL. FCG made adjustments to the capital structure to reflect the same ratio of total capital as that of CUC.</w:t>
      </w:r>
    </w:p>
    <w:p w14:paraId="37A11F4D" w14:textId="4235E7F5" w:rsidR="002E198C" w:rsidRDefault="002E198C" w:rsidP="00A84E8B">
      <w:pPr>
        <w:pStyle w:val="OrderBody"/>
        <w:ind w:firstLine="720"/>
      </w:pPr>
      <w:r w:rsidRPr="004A5E80">
        <w:t>FCG’s calculation of the ROE and weighted average cost of capital for the purpose of setting interim rates is reasonable and consistent with Section 367.071, F.S</w:t>
      </w:r>
      <w:r w:rsidR="00941AFE">
        <w:t>. T</w:t>
      </w:r>
      <w:r w:rsidRPr="004A5E80">
        <w:t xml:space="preserve">herefore, </w:t>
      </w:r>
      <w:r w:rsidR="00941AFE">
        <w:t xml:space="preserve">we find </w:t>
      </w:r>
      <w:r w:rsidRPr="004A5E80">
        <w:t>that an ROE of 8.50 percent and an overall rate of return of 7.16 percent is appropriate for the purpose of determining interim rates. Attachment B details the calculations of the Company’s overall cost of capital.</w:t>
      </w:r>
    </w:p>
    <w:p w14:paraId="510924A9" w14:textId="77777777" w:rsidR="00941AFE" w:rsidRDefault="00941AFE" w:rsidP="00941AFE">
      <w:pPr>
        <w:pStyle w:val="OrderBody"/>
      </w:pPr>
    </w:p>
    <w:p w14:paraId="5D273AB1" w14:textId="4480C9D6" w:rsidR="00941AFE" w:rsidRPr="00941AFE" w:rsidRDefault="00941AFE" w:rsidP="00941AFE">
      <w:pPr>
        <w:pStyle w:val="OrderBody"/>
        <w:rPr>
          <w:u w:val="single"/>
        </w:rPr>
      </w:pPr>
      <w:r>
        <w:rPr>
          <w:u w:val="single"/>
        </w:rPr>
        <w:t>Interim Test Year Net Operating Income</w:t>
      </w:r>
    </w:p>
    <w:p w14:paraId="487F72ED" w14:textId="77777777" w:rsidR="002E198C" w:rsidRPr="004A5E80" w:rsidRDefault="002E198C" w:rsidP="002E198C">
      <w:pPr>
        <w:pStyle w:val="OrderBody"/>
      </w:pPr>
    </w:p>
    <w:p w14:paraId="5D377BC1" w14:textId="2F15BF0B" w:rsidR="002E198C" w:rsidRPr="004A5E80" w:rsidRDefault="006B143A" w:rsidP="00941AFE">
      <w:pPr>
        <w:autoSpaceDE w:val="0"/>
        <w:autoSpaceDN w:val="0"/>
        <w:adjustRightInd w:val="0"/>
        <w:ind w:firstLine="720"/>
        <w:jc w:val="both"/>
      </w:pPr>
      <w:r w:rsidRPr="006B143A">
        <w:t>For the purposes of interim net operating income</w:t>
      </w:r>
      <w:r>
        <w:t xml:space="preserve"> (NOI)</w:t>
      </w:r>
      <w:r w:rsidRPr="006B143A">
        <w:t>, FCG reflected $27,498,041 as the twelve-month amount for the historical interim test year ended December 31, 2025.</w:t>
      </w:r>
      <w:r w:rsidR="002E198C" w:rsidRPr="004A5E80">
        <w:t xml:space="preserve"> On March 2, 2026, </w:t>
      </w:r>
      <w:r w:rsidR="00941AFE">
        <w:t xml:space="preserve">before the Company’s Minimum Filing Requirements (MFRs) were filed, </w:t>
      </w:r>
      <w:r w:rsidR="002E198C" w:rsidRPr="004A5E80">
        <w:t xml:space="preserve">OPC filed a letter requesting that </w:t>
      </w:r>
      <w:r w:rsidR="00941AFE">
        <w:t xml:space="preserve">we </w:t>
      </w:r>
      <w:r w:rsidR="002E198C" w:rsidRPr="004A5E80">
        <w:t xml:space="preserve">recognize a $500,000 reduction in depreciation expense in 2025 that </w:t>
      </w:r>
      <w:r w:rsidR="00941AFE">
        <w:t xml:space="preserve">we </w:t>
      </w:r>
      <w:r w:rsidR="002E198C" w:rsidRPr="004A5E80">
        <w:t xml:space="preserve">had </w:t>
      </w:r>
      <w:r w:rsidR="00941AFE">
        <w:t xml:space="preserve">previously </w:t>
      </w:r>
      <w:r w:rsidR="002E198C" w:rsidRPr="004A5E80">
        <w:t>approved.</w:t>
      </w:r>
      <w:r w:rsidR="002E198C" w:rsidRPr="004A5E80">
        <w:rPr>
          <w:vertAlign w:val="superscript"/>
        </w:rPr>
        <w:footnoteReference w:id="7"/>
      </w:r>
      <w:r w:rsidR="002E198C" w:rsidRPr="004A5E80">
        <w:t xml:space="preserve"> The Company made this adjustment to the depreciation expense, which was reflected on MFR Schedule F-5 at the time of filing. </w:t>
      </w:r>
      <w:r w:rsidR="00941AFE">
        <w:t xml:space="preserve">We </w:t>
      </w:r>
      <w:r w:rsidR="002E198C" w:rsidRPr="004A5E80">
        <w:t xml:space="preserve">reviewed the net operating income adjustments made in the current interim filing for consistency with the approved adjustments in the last rate case proceeding, as well as other applicable dockets. </w:t>
      </w:r>
    </w:p>
    <w:p w14:paraId="349381EA" w14:textId="77777777" w:rsidR="002E198C" w:rsidRPr="004A5E80" w:rsidRDefault="002E198C" w:rsidP="002E198C">
      <w:pPr>
        <w:autoSpaceDE w:val="0"/>
        <w:autoSpaceDN w:val="0"/>
        <w:adjustRightInd w:val="0"/>
        <w:jc w:val="both"/>
      </w:pPr>
    </w:p>
    <w:p w14:paraId="3B328F34" w14:textId="0EF02A6C" w:rsidR="002E198C" w:rsidRDefault="00941AFE" w:rsidP="00A84E8B">
      <w:pPr>
        <w:pStyle w:val="OrderBody"/>
        <w:ind w:firstLine="720"/>
      </w:pPr>
      <w:r>
        <w:t>W</w:t>
      </w:r>
      <w:r w:rsidR="002E198C" w:rsidRPr="004A5E80">
        <w:t>e</w:t>
      </w:r>
      <w:r w:rsidR="006B143A">
        <w:t xml:space="preserve"> find that the</w:t>
      </w:r>
      <w:r w:rsidR="002E198C" w:rsidRPr="004A5E80">
        <w:t xml:space="preserve"> appropriate net operating income amount for the interim test year is $27,498,041. The calculations are shown on Attachment A</w:t>
      </w:r>
      <w:r w:rsidR="000B4770">
        <w:t>, attached to this Order</w:t>
      </w:r>
      <w:r w:rsidR="002E198C" w:rsidRPr="004A5E80">
        <w:t>.</w:t>
      </w:r>
    </w:p>
    <w:p w14:paraId="1AEBED6E" w14:textId="77777777" w:rsidR="006B143A" w:rsidRDefault="006B143A" w:rsidP="006B143A">
      <w:pPr>
        <w:pStyle w:val="OrderBody"/>
      </w:pPr>
    </w:p>
    <w:p w14:paraId="6DE7C25B" w14:textId="3DE3E666" w:rsidR="006B143A" w:rsidRPr="006B143A" w:rsidRDefault="006B143A" w:rsidP="006B143A">
      <w:pPr>
        <w:pStyle w:val="OrderBody"/>
        <w:rPr>
          <w:u w:val="single"/>
        </w:rPr>
      </w:pPr>
      <w:r>
        <w:rPr>
          <w:u w:val="single"/>
        </w:rPr>
        <w:t>Interim N</w:t>
      </w:r>
      <w:r w:rsidR="00F942D5">
        <w:rPr>
          <w:u w:val="single"/>
        </w:rPr>
        <w:t>OI</w:t>
      </w:r>
      <w:r>
        <w:rPr>
          <w:u w:val="single"/>
        </w:rPr>
        <w:t xml:space="preserve"> Multiplier</w:t>
      </w:r>
    </w:p>
    <w:p w14:paraId="60E78E3F" w14:textId="77777777" w:rsidR="002E198C" w:rsidRPr="004A5E80" w:rsidRDefault="002E198C" w:rsidP="002E198C">
      <w:pPr>
        <w:pStyle w:val="OrderBody"/>
      </w:pPr>
    </w:p>
    <w:p w14:paraId="01639342" w14:textId="6D53EA59" w:rsidR="002E198C" w:rsidRPr="004A5E80" w:rsidRDefault="002E198C" w:rsidP="006B143A">
      <w:pPr>
        <w:spacing w:after="240"/>
        <w:ind w:firstLine="720"/>
        <w:jc w:val="both"/>
      </w:pPr>
      <w:r w:rsidRPr="004A5E80">
        <w:t>On MFR Schedule F-6, FCG calculated an interim NOI multiplier of 1.3511, based on a revenue expansion factor of 74.01 percent, using a 21 percent federal income tax rate, a 5.5 percent state income tax rate, a 0.3597 percent bad debt rate, and a 0.5 percent factor for regulatory assessment fees.</w:t>
      </w:r>
      <w:r w:rsidR="00F942D5">
        <w:t xml:space="preserve"> We have</w:t>
      </w:r>
      <w:r w:rsidRPr="004A5E80">
        <w:t xml:space="preserve"> reviewed these rates and found them to be appropriate. </w:t>
      </w:r>
    </w:p>
    <w:p w14:paraId="6414F6F5" w14:textId="7AD66800" w:rsidR="00F942D5" w:rsidRDefault="002E198C" w:rsidP="000B4770">
      <w:pPr>
        <w:spacing w:after="240"/>
        <w:ind w:firstLine="720"/>
        <w:jc w:val="both"/>
      </w:pPr>
      <w:r w:rsidRPr="004A5E80">
        <w:t xml:space="preserve">Therefore, </w:t>
      </w:r>
      <w:r w:rsidR="00941AFE">
        <w:t>we find</w:t>
      </w:r>
      <w:r w:rsidRPr="004A5E80">
        <w:t xml:space="preserve"> that 1.3511 is the appropriate interim NOI multiplier. The calculations are shown</w:t>
      </w:r>
      <w:r w:rsidR="00F942D5">
        <w:t xml:space="preserve"> in Table 1</w:t>
      </w:r>
      <w:r w:rsidRPr="004A5E80">
        <w:t>:</w:t>
      </w:r>
    </w:p>
    <w:p w14:paraId="231FEF99" w14:textId="77777777" w:rsidR="00F942D5" w:rsidRDefault="00F942D5">
      <w:r>
        <w:br w:type="page"/>
      </w:r>
    </w:p>
    <w:p w14:paraId="135306C0" w14:textId="72CB2AC9" w:rsidR="002E198C" w:rsidRPr="004A5E80" w:rsidRDefault="002E198C" w:rsidP="00A84E8B">
      <w:pPr>
        <w:keepNext/>
        <w:jc w:val="center"/>
        <w:rPr>
          <w:b/>
        </w:rPr>
      </w:pPr>
      <w:r w:rsidRPr="004A5E80">
        <w:rPr>
          <w:b/>
        </w:rPr>
        <w:lastRenderedPageBreak/>
        <w:t>Table 1</w:t>
      </w:r>
    </w:p>
    <w:p w14:paraId="7336A859" w14:textId="77777777" w:rsidR="002E198C" w:rsidRPr="004A5E80" w:rsidRDefault="002E198C" w:rsidP="002E198C">
      <w:pPr>
        <w:keepNext/>
        <w:jc w:val="center"/>
        <w:rPr>
          <w:b/>
        </w:rPr>
      </w:pPr>
      <w:r w:rsidRPr="004A5E80">
        <w:rPr>
          <w:b/>
        </w:rPr>
        <w:t>Interim NOI Multiplier</w:t>
      </w:r>
    </w:p>
    <w:tbl>
      <w:tblPr>
        <w:tblStyle w:val="TableGrid"/>
        <w:tblW w:w="0" w:type="auto"/>
        <w:tblInd w:w="2358" w:type="dxa"/>
        <w:tblLook w:val="04A0" w:firstRow="1" w:lastRow="0" w:firstColumn="1" w:lastColumn="0" w:noHBand="0" w:noVBand="1"/>
      </w:tblPr>
      <w:tblGrid>
        <w:gridCol w:w="3330"/>
        <w:gridCol w:w="1440"/>
      </w:tblGrid>
      <w:tr w:rsidR="002E198C" w:rsidRPr="004A5E80" w14:paraId="072D62A6" w14:textId="77777777" w:rsidTr="00E2006B">
        <w:tc>
          <w:tcPr>
            <w:tcW w:w="3330" w:type="dxa"/>
            <w:tcBorders>
              <w:bottom w:val="single" w:sz="4" w:space="0" w:color="auto"/>
            </w:tcBorders>
          </w:tcPr>
          <w:p w14:paraId="12E54BCE" w14:textId="77777777" w:rsidR="002E198C" w:rsidRPr="004A5E80" w:rsidRDefault="002E198C" w:rsidP="002E198C">
            <w:pPr>
              <w:jc w:val="center"/>
              <w:rPr>
                <w:b/>
                <w:u w:val="single"/>
              </w:rPr>
            </w:pPr>
            <w:r w:rsidRPr="004A5E80">
              <w:rPr>
                <w:b/>
                <w:u w:val="single"/>
              </w:rPr>
              <w:t>Description</w:t>
            </w:r>
          </w:p>
        </w:tc>
        <w:tc>
          <w:tcPr>
            <w:tcW w:w="1440" w:type="dxa"/>
            <w:tcBorders>
              <w:bottom w:val="single" w:sz="4" w:space="0" w:color="auto"/>
            </w:tcBorders>
          </w:tcPr>
          <w:p w14:paraId="0199DFDA" w14:textId="77777777" w:rsidR="002E198C" w:rsidRPr="004A5E80" w:rsidRDefault="002E198C" w:rsidP="002E198C"/>
        </w:tc>
      </w:tr>
      <w:tr w:rsidR="002E198C" w:rsidRPr="004A5E80" w14:paraId="2BBBD2C8" w14:textId="77777777" w:rsidTr="00E2006B">
        <w:tc>
          <w:tcPr>
            <w:tcW w:w="3330" w:type="dxa"/>
            <w:tcBorders>
              <w:bottom w:val="nil"/>
            </w:tcBorders>
          </w:tcPr>
          <w:p w14:paraId="732E3379" w14:textId="77777777" w:rsidR="002E198C" w:rsidRPr="004A5E80" w:rsidRDefault="002E198C" w:rsidP="002E198C">
            <w:r w:rsidRPr="004A5E80">
              <w:t>Revenue Requirement</w:t>
            </w:r>
          </w:p>
        </w:tc>
        <w:tc>
          <w:tcPr>
            <w:tcW w:w="1440" w:type="dxa"/>
            <w:tcBorders>
              <w:bottom w:val="nil"/>
            </w:tcBorders>
          </w:tcPr>
          <w:p w14:paraId="4E79A500" w14:textId="77777777" w:rsidR="002E198C" w:rsidRPr="004A5E80" w:rsidRDefault="002E198C" w:rsidP="002E198C">
            <w:pPr>
              <w:jc w:val="right"/>
            </w:pPr>
            <w:r w:rsidRPr="004A5E80">
              <w:t>100.0000%</w:t>
            </w:r>
          </w:p>
        </w:tc>
      </w:tr>
      <w:tr w:rsidR="002E198C" w:rsidRPr="004A5E80" w14:paraId="081E5F4C" w14:textId="77777777" w:rsidTr="00E2006B">
        <w:tc>
          <w:tcPr>
            <w:tcW w:w="3330" w:type="dxa"/>
            <w:tcBorders>
              <w:top w:val="nil"/>
              <w:bottom w:val="nil"/>
            </w:tcBorders>
          </w:tcPr>
          <w:p w14:paraId="5F921E11" w14:textId="77777777" w:rsidR="002E198C" w:rsidRPr="004A5E80" w:rsidRDefault="002E198C" w:rsidP="002E198C">
            <w:r w:rsidRPr="004A5E80">
              <w:t>Regulatory Assessment Fee</w:t>
            </w:r>
          </w:p>
        </w:tc>
        <w:tc>
          <w:tcPr>
            <w:tcW w:w="1440" w:type="dxa"/>
            <w:tcBorders>
              <w:top w:val="nil"/>
              <w:bottom w:val="nil"/>
            </w:tcBorders>
          </w:tcPr>
          <w:p w14:paraId="03986319" w14:textId="77777777" w:rsidR="002E198C" w:rsidRPr="004A5E80" w:rsidRDefault="002E198C" w:rsidP="002E198C">
            <w:pPr>
              <w:jc w:val="right"/>
            </w:pPr>
            <w:r w:rsidRPr="004A5E80">
              <w:t>-0.5000%</w:t>
            </w:r>
          </w:p>
        </w:tc>
      </w:tr>
      <w:tr w:rsidR="002E198C" w:rsidRPr="004A5E80" w14:paraId="3243179E" w14:textId="77777777" w:rsidTr="00E2006B">
        <w:tc>
          <w:tcPr>
            <w:tcW w:w="3330" w:type="dxa"/>
            <w:tcBorders>
              <w:top w:val="nil"/>
              <w:bottom w:val="nil"/>
            </w:tcBorders>
          </w:tcPr>
          <w:p w14:paraId="103A9658" w14:textId="77777777" w:rsidR="002E198C" w:rsidRPr="004A5E80" w:rsidRDefault="002E198C" w:rsidP="002E198C">
            <w:r w:rsidRPr="004A5E80">
              <w:t>Bad Debt Rate</w:t>
            </w:r>
          </w:p>
        </w:tc>
        <w:tc>
          <w:tcPr>
            <w:tcW w:w="1440" w:type="dxa"/>
            <w:tcBorders>
              <w:top w:val="nil"/>
              <w:bottom w:val="nil"/>
            </w:tcBorders>
          </w:tcPr>
          <w:p w14:paraId="32A65622" w14:textId="77777777" w:rsidR="002E198C" w:rsidRPr="004A5E80" w:rsidRDefault="002E198C" w:rsidP="002E198C">
            <w:pPr>
              <w:jc w:val="right"/>
              <w:rPr>
                <w:u w:val="single"/>
              </w:rPr>
            </w:pPr>
            <w:r w:rsidRPr="004A5E80">
              <w:rPr>
                <w:u w:val="single"/>
              </w:rPr>
              <w:t>-0.3597%</w:t>
            </w:r>
          </w:p>
        </w:tc>
      </w:tr>
      <w:tr w:rsidR="002E198C" w:rsidRPr="004A5E80" w14:paraId="19BFB20D" w14:textId="77777777" w:rsidTr="00E2006B">
        <w:tc>
          <w:tcPr>
            <w:tcW w:w="3330" w:type="dxa"/>
            <w:tcBorders>
              <w:top w:val="nil"/>
              <w:bottom w:val="nil"/>
            </w:tcBorders>
          </w:tcPr>
          <w:p w14:paraId="52EDC3E4" w14:textId="77777777" w:rsidR="002E198C" w:rsidRPr="004A5E80" w:rsidRDefault="002E198C" w:rsidP="002E198C">
            <w:r w:rsidRPr="004A5E80">
              <w:t>Net Before Income Tax</w:t>
            </w:r>
          </w:p>
        </w:tc>
        <w:tc>
          <w:tcPr>
            <w:tcW w:w="1440" w:type="dxa"/>
            <w:tcBorders>
              <w:top w:val="nil"/>
              <w:bottom w:val="nil"/>
            </w:tcBorders>
          </w:tcPr>
          <w:p w14:paraId="0680E436" w14:textId="77777777" w:rsidR="002E198C" w:rsidRPr="004A5E80" w:rsidRDefault="002E198C" w:rsidP="002E198C">
            <w:pPr>
              <w:jc w:val="right"/>
            </w:pPr>
            <w:r w:rsidRPr="004A5E80">
              <w:t>99.1403%</w:t>
            </w:r>
          </w:p>
        </w:tc>
      </w:tr>
      <w:tr w:rsidR="002E198C" w:rsidRPr="004A5E80" w14:paraId="0E695A5F" w14:textId="77777777" w:rsidTr="00E2006B">
        <w:tc>
          <w:tcPr>
            <w:tcW w:w="3330" w:type="dxa"/>
            <w:tcBorders>
              <w:top w:val="nil"/>
              <w:bottom w:val="nil"/>
            </w:tcBorders>
          </w:tcPr>
          <w:p w14:paraId="6A1E6CAB" w14:textId="77777777" w:rsidR="002E198C" w:rsidRPr="004A5E80" w:rsidRDefault="002E198C" w:rsidP="002E198C">
            <w:r w:rsidRPr="004A5E80">
              <w:t>State and Income Tax @ 5.5%</w:t>
            </w:r>
          </w:p>
        </w:tc>
        <w:tc>
          <w:tcPr>
            <w:tcW w:w="1440" w:type="dxa"/>
            <w:tcBorders>
              <w:top w:val="nil"/>
              <w:bottom w:val="nil"/>
            </w:tcBorders>
          </w:tcPr>
          <w:p w14:paraId="2C3BD50F" w14:textId="77777777" w:rsidR="002E198C" w:rsidRPr="004A5E80" w:rsidRDefault="002E198C" w:rsidP="002E198C">
            <w:pPr>
              <w:jc w:val="right"/>
            </w:pPr>
            <w:r w:rsidRPr="004A5E80">
              <w:t>-5.4527%</w:t>
            </w:r>
          </w:p>
        </w:tc>
      </w:tr>
      <w:tr w:rsidR="002E198C" w:rsidRPr="004A5E80" w14:paraId="4BC6F8BE" w14:textId="77777777" w:rsidTr="00E2006B">
        <w:tc>
          <w:tcPr>
            <w:tcW w:w="3330" w:type="dxa"/>
            <w:tcBorders>
              <w:top w:val="nil"/>
              <w:bottom w:val="nil"/>
            </w:tcBorders>
          </w:tcPr>
          <w:p w14:paraId="7ABCB1A5" w14:textId="77777777" w:rsidR="002E198C" w:rsidRPr="004A5E80" w:rsidRDefault="002E198C" w:rsidP="002E198C">
            <w:r w:rsidRPr="004A5E80">
              <w:t>Federal Income Tax @ 21%</w:t>
            </w:r>
          </w:p>
        </w:tc>
        <w:tc>
          <w:tcPr>
            <w:tcW w:w="1440" w:type="dxa"/>
            <w:tcBorders>
              <w:top w:val="nil"/>
              <w:bottom w:val="nil"/>
            </w:tcBorders>
          </w:tcPr>
          <w:p w14:paraId="33F7FD8E" w14:textId="77777777" w:rsidR="002E198C" w:rsidRPr="004A5E80" w:rsidRDefault="002E198C" w:rsidP="002E198C">
            <w:pPr>
              <w:jc w:val="right"/>
              <w:rPr>
                <w:u w:val="single"/>
              </w:rPr>
            </w:pPr>
            <w:r w:rsidRPr="004A5E80">
              <w:rPr>
                <w:u w:val="single"/>
              </w:rPr>
              <w:t>-19.6744%</w:t>
            </w:r>
          </w:p>
        </w:tc>
      </w:tr>
      <w:tr w:rsidR="002E198C" w:rsidRPr="004A5E80" w14:paraId="7AB2A7DF" w14:textId="77777777" w:rsidTr="00E2006B">
        <w:tc>
          <w:tcPr>
            <w:tcW w:w="3330" w:type="dxa"/>
            <w:tcBorders>
              <w:top w:val="nil"/>
              <w:bottom w:val="nil"/>
            </w:tcBorders>
          </w:tcPr>
          <w:p w14:paraId="2B4167CB" w14:textId="77777777" w:rsidR="002E198C" w:rsidRPr="004A5E80" w:rsidRDefault="002E198C" w:rsidP="002E198C">
            <w:r w:rsidRPr="004A5E80">
              <w:t>Revenue Expansion Factor</w:t>
            </w:r>
          </w:p>
        </w:tc>
        <w:tc>
          <w:tcPr>
            <w:tcW w:w="1440" w:type="dxa"/>
            <w:tcBorders>
              <w:top w:val="nil"/>
              <w:bottom w:val="nil"/>
            </w:tcBorders>
          </w:tcPr>
          <w:p w14:paraId="07379743" w14:textId="77777777" w:rsidR="002E198C" w:rsidRPr="004A5E80" w:rsidRDefault="002E198C" w:rsidP="002E198C">
            <w:pPr>
              <w:jc w:val="right"/>
              <w:rPr>
                <w:u w:val="thick"/>
              </w:rPr>
            </w:pPr>
            <w:r w:rsidRPr="004A5E80">
              <w:rPr>
                <w:u w:val="thick"/>
              </w:rPr>
              <w:t>74.0132%</w:t>
            </w:r>
          </w:p>
        </w:tc>
      </w:tr>
      <w:tr w:rsidR="002E198C" w:rsidRPr="004A5E80" w14:paraId="1A3E5850" w14:textId="77777777" w:rsidTr="00E2006B">
        <w:tc>
          <w:tcPr>
            <w:tcW w:w="3330" w:type="dxa"/>
            <w:tcBorders>
              <w:top w:val="nil"/>
            </w:tcBorders>
          </w:tcPr>
          <w:p w14:paraId="32DF219B" w14:textId="77777777" w:rsidR="002E198C" w:rsidRPr="004A5E80" w:rsidRDefault="002E198C" w:rsidP="002E198C">
            <w:r w:rsidRPr="004A5E80">
              <w:t>NOI Multiplier (100/74.0100)</w:t>
            </w:r>
          </w:p>
        </w:tc>
        <w:tc>
          <w:tcPr>
            <w:tcW w:w="1440" w:type="dxa"/>
            <w:tcBorders>
              <w:top w:val="nil"/>
            </w:tcBorders>
          </w:tcPr>
          <w:p w14:paraId="3518FA12" w14:textId="77777777" w:rsidR="002E198C" w:rsidRPr="004A5E80" w:rsidRDefault="002E198C" w:rsidP="002E198C">
            <w:pPr>
              <w:jc w:val="right"/>
              <w:rPr>
                <w:u w:val="thick"/>
              </w:rPr>
            </w:pPr>
            <w:r w:rsidRPr="004A5E80">
              <w:rPr>
                <w:u w:val="thick"/>
              </w:rPr>
              <w:t>1.3511</w:t>
            </w:r>
          </w:p>
        </w:tc>
      </w:tr>
    </w:tbl>
    <w:p w14:paraId="3D692B2A" w14:textId="77777777" w:rsidR="002E198C" w:rsidRDefault="002E198C" w:rsidP="002E198C">
      <w:pPr>
        <w:pStyle w:val="OrderBody"/>
      </w:pPr>
    </w:p>
    <w:p w14:paraId="1E90B8DC" w14:textId="6F89FC67" w:rsidR="00F942D5" w:rsidRPr="00F942D5" w:rsidRDefault="00F942D5" w:rsidP="002E198C">
      <w:pPr>
        <w:pStyle w:val="OrderBody"/>
        <w:rPr>
          <w:u w:val="single"/>
        </w:rPr>
      </w:pPr>
      <w:r>
        <w:rPr>
          <w:u w:val="single"/>
        </w:rPr>
        <w:t>Interim Revenue Increase</w:t>
      </w:r>
    </w:p>
    <w:p w14:paraId="344BC1D6" w14:textId="77777777" w:rsidR="00F942D5" w:rsidRPr="004A5E80" w:rsidRDefault="00F942D5" w:rsidP="002E198C">
      <w:pPr>
        <w:pStyle w:val="OrderBody"/>
      </w:pPr>
    </w:p>
    <w:p w14:paraId="28F86235" w14:textId="136B380D" w:rsidR="002E198C" w:rsidRPr="00F942D5" w:rsidRDefault="002E198C" w:rsidP="00F942D5">
      <w:pPr>
        <w:spacing w:after="240"/>
        <w:ind w:firstLine="720"/>
        <w:jc w:val="both"/>
      </w:pPr>
      <w:r w:rsidRPr="00F942D5">
        <w:t xml:space="preserve">FCG requested interim rate relief of $16,244,207 for the historical test year ended December 31, 2025. The interim revenue increases would allow FCG an opportunity to earn an overall rate of return of 7.16 percent based on the minimum range of return on equity of 8.50 percent. </w:t>
      </w:r>
    </w:p>
    <w:p w14:paraId="5BDC60AC" w14:textId="0E60BC5E" w:rsidR="002E198C" w:rsidRPr="004A5E80" w:rsidRDefault="002E198C" w:rsidP="00A84E8B">
      <w:pPr>
        <w:spacing w:after="240"/>
        <w:ind w:firstLine="720"/>
        <w:jc w:val="both"/>
      </w:pPr>
      <w:r w:rsidRPr="004A5E80">
        <w:t xml:space="preserve">As such, </w:t>
      </w:r>
      <w:r w:rsidR="00F942D5">
        <w:t>we find</w:t>
      </w:r>
      <w:r w:rsidRPr="004A5E80">
        <w:t xml:space="preserve"> that the appropriate revenue increase is $16,244,207 for the historical test year ended December 31, 2025. After a determination of the permanent rate increase has been made, the interim rate increase will be reviewed to determine if any portion should be refunded to customers. The calculation of interim rate relief is shown in Table </w:t>
      </w:r>
      <w:r w:rsidR="00F942D5">
        <w:t>2</w:t>
      </w:r>
      <w:r w:rsidR="003B540D">
        <w:t>:</w:t>
      </w:r>
    </w:p>
    <w:p w14:paraId="30758306" w14:textId="110B15A7" w:rsidR="002E198C" w:rsidRPr="004A5E80" w:rsidRDefault="002E198C" w:rsidP="00A84E8B">
      <w:pPr>
        <w:keepNext/>
        <w:jc w:val="center"/>
        <w:rPr>
          <w:b/>
        </w:rPr>
      </w:pPr>
      <w:r w:rsidRPr="004A5E80">
        <w:rPr>
          <w:b/>
        </w:rPr>
        <w:t xml:space="preserve">Table </w:t>
      </w:r>
      <w:r w:rsidR="00F942D5">
        <w:rPr>
          <w:b/>
        </w:rPr>
        <w:t>2</w:t>
      </w:r>
    </w:p>
    <w:p w14:paraId="27303D2C" w14:textId="77777777" w:rsidR="002E198C" w:rsidRPr="004A5E80" w:rsidRDefault="002E198C" w:rsidP="002E198C">
      <w:pPr>
        <w:keepNext/>
        <w:jc w:val="center"/>
        <w:rPr>
          <w:b/>
        </w:rPr>
      </w:pPr>
      <w:r w:rsidRPr="004A5E80">
        <w:rPr>
          <w:b/>
        </w:rPr>
        <w:t>Interim Revenue Increase</w:t>
      </w:r>
    </w:p>
    <w:tbl>
      <w:tblPr>
        <w:tblStyle w:val="TableGrid"/>
        <w:tblW w:w="0" w:type="auto"/>
        <w:tblInd w:w="1818" w:type="dxa"/>
        <w:tblLook w:val="04A0" w:firstRow="1" w:lastRow="0" w:firstColumn="1" w:lastColumn="0" w:noHBand="0" w:noVBand="1"/>
      </w:tblPr>
      <w:tblGrid>
        <w:gridCol w:w="4770"/>
        <w:gridCol w:w="1716"/>
      </w:tblGrid>
      <w:tr w:rsidR="002E198C" w:rsidRPr="004A5E80" w14:paraId="6161C0BE" w14:textId="77777777" w:rsidTr="00E2006B">
        <w:tc>
          <w:tcPr>
            <w:tcW w:w="4770" w:type="dxa"/>
            <w:tcBorders>
              <w:bottom w:val="single" w:sz="4" w:space="0" w:color="auto"/>
            </w:tcBorders>
          </w:tcPr>
          <w:p w14:paraId="00A7791C" w14:textId="77777777" w:rsidR="002E198C" w:rsidRPr="004A5E80" w:rsidRDefault="002E198C" w:rsidP="002E198C">
            <w:pPr>
              <w:jc w:val="center"/>
              <w:rPr>
                <w:b/>
                <w:u w:val="single"/>
              </w:rPr>
            </w:pPr>
            <w:r w:rsidRPr="004A5E80">
              <w:rPr>
                <w:b/>
                <w:u w:val="single"/>
              </w:rPr>
              <w:t>Description</w:t>
            </w:r>
          </w:p>
        </w:tc>
        <w:tc>
          <w:tcPr>
            <w:tcW w:w="1716" w:type="dxa"/>
            <w:tcBorders>
              <w:bottom w:val="single" w:sz="4" w:space="0" w:color="auto"/>
            </w:tcBorders>
          </w:tcPr>
          <w:p w14:paraId="33DDDC86" w14:textId="77777777" w:rsidR="002E198C" w:rsidRPr="004A5E80" w:rsidRDefault="002E198C" w:rsidP="002E198C">
            <w:pPr>
              <w:jc w:val="right"/>
            </w:pPr>
          </w:p>
        </w:tc>
      </w:tr>
      <w:tr w:rsidR="002E198C" w:rsidRPr="004A5E80" w14:paraId="3818B0BA" w14:textId="77777777" w:rsidTr="00E2006B">
        <w:tc>
          <w:tcPr>
            <w:tcW w:w="4770" w:type="dxa"/>
            <w:tcBorders>
              <w:bottom w:val="nil"/>
            </w:tcBorders>
          </w:tcPr>
          <w:p w14:paraId="7E2C29F9" w14:textId="77777777" w:rsidR="002E198C" w:rsidRPr="004A5E80" w:rsidRDefault="002E198C" w:rsidP="002E198C">
            <w:r w:rsidRPr="004A5E80">
              <w:t>Jurisdictional Adjusted Rate Base</w:t>
            </w:r>
          </w:p>
        </w:tc>
        <w:tc>
          <w:tcPr>
            <w:tcW w:w="1716" w:type="dxa"/>
            <w:tcBorders>
              <w:bottom w:val="nil"/>
            </w:tcBorders>
          </w:tcPr>
          <w:p w14:paraId="7F534205" w14:textId="77777777" w:rsidR="002E198C" w:rsidRPr="004A5E80" w:rsidRDefault="002E198C" w:rsidP="002E198C">
            <w:pPr>
              <w:jc w:val="right"/>
            </w:pPr>
            <w:r w:rsidRPr="004A5E80">
              <w:t>$ 551,813,687</w:t>
            </w:r>
          </w:p>
        </w:tc>
      </w:tr>
      <w:tr w:rsidR="002E198C" w:rsidRPr="004A5E80" w14:paraId="236B5673" w14:textId="77777777" w:rsidTr="00E2006B">
        <w:tc>
          <w:tcPr>
            <w:tcW w:w="4770" w:type="dxa"/>
            <w:tcBorders>
              <w:top w:val="nil"/>
              <w:bottom w:val="nil"/>
            </w:tcBorders>
          </w:tcPr>
          <w:p w14:paraId="2640B39A" w14:textId="77777777" w:rsidR="002E198C" w:rsidRPr="004A5E80" w:rsidRDefault="002E198C" w:rsidP="002E198C">
            <w:r w:rsidRPr="004A5E80">
              <w:t>Overall Rate of Return</w:t>
            </w:r>
          </w:p>
        </w:tc>
        <w:tc>
          <w:tcPr>
            <w:tcW w:w="1716" w:type="dxa"/>
            <w:tcBorders>
              <w:top w:val="nil"/>
              <w:bottom w:val="nil"/>
            </w:tcBorders>
          </w:tcPr>
          <w:p w14:paraId="1B36E13B" w14:textId="77777777" w:rsidR="002E198C" w:rsidRPr="004A5E80" w:rsidRDefault="002E198C" w:rsidP="002E198C">
            <w:pPr>
              <w:jc w:val="right"/>
              <w:rPr>
                <w:u w:val="single"/>
              </w:rPr>
            </w:pPr>
            <w:r w:rsidRPr="004A5E80">
              <w:rPr>
                <w:u w:val="single"/>
              </w:rPr>
              <w:t>7.16%</w:t>
            </w:r>
          </w:p>
        </w:tc>
      </w:tr>
      <w:tr w:rsidR="002E198C" w:rsidRPr="004A5E80" w14:paraId="0853727E" w14:textId="77777777" w:rsidTr="00E2006B">
        <w:tc>
          <w:tcPr>
            <w:tcW w:w="4770" w:type="dxa"/>
            <w:tcBorders>
              <w:top w:val="nil"/>
              <w:bottom w:val="nil"/>
            </w:tcBorders>
          </w:tcPr>
          <w:p w14:paraId="67E02E3A" w14:textId="77777777" w:rsidR="002E198C" w:rsidRPr="004A5E80" w:rsidRDefault="002E198C" w:rsidP="002E198C">
            <w:r w:rsidRPr="004A5E80">
              <w:t>Jurisdictional Net Operating Income</w:t>
            </w:r>
          </w:p>
        </w:tc>
        <w:tc>
          <w:tcPr>
            <w:tcW w:w="1716" w:type="dxa"/>
            <w:tcBorders>
              <w:top w:val="nil"/>
              <w:bottom w:val="nil"/>
            </w:tcBorders>
          </w:tcPr>
          <w:p w14:paraId="1E5A469B" w14:textId="77777777" w:rsidR="002E198C" w:rsidRPr="004A5E80" w:rsidRDefault="002E198C" w:rsidP="002E198C">
            <w:pPr>
              <w:jc w:val="right"/>
            </w:pPr>
            <w:r w:rsidRPr="004A5E80">
              <w:t>$39,520,896</w:t>
            </w:r>
          </w:p>
        </w:tc>
      </w:tr>
      <w:tr w:rsidR="002E198C" w:rsidRPr="004A5E80" w14:paraId="1980FBF8" w14:textId="77777777" w:rsidTr="00E2006B">
        <w:tc>
          <w:tcPr>
            <w:tcW w:w="4770" w:type="dxa"/>
            <w:tcBorders>
              <w:top w:val="nil"/>
              <w:bottom w:val="nil"/>
            </w:tcBorders>
          </w:tcPr>
          <w:p w14:paraId="045BF882" w14:textId="77777777" w:rsidR="002E198C" w:rsidRPr="004A5E80" w:rsidRDefault="002E198C" w:rsidP="002E198C">
            <w:r w:rsidRPr="004A5E80">
              <w:t>Jurisdictional Adjusted Net Operating Income</w:t>
            </w:r>
          </w:p>
        </w:tc>
        <w:tc>
          <w:tcPr>
            <w:tcW w:w="1716" w:type="dxa"/>
            <w:tcBorders>
              <w:top w:val="nil"/>
              <w:bottom w:val="nil"/>
            </w:tcBorders>
          </w:tcPr>
          <w:p w14:paraId="5759578F" w14:textId="77777777" w:rsidR="002E198C" w:rsidRPr="004A5E80" w:rsidRDefault="002E198C" w:rsidP="002E198C">
            <w:pPr>
              <w:jc w:val="right"/>
            </w:pPr>
            <w:r w:rsidRPr="004A5E80">
              <w:t>($27,498,041)</w:t>
            </w:r>
          </w:p>
        </w:tc>
      </w:tr>
      <w:tr w:rsidR="002E198C" w:rsidRPr="004A5E80" w14:paraId="3F86BDAD" w14:textId="77777777" w:rsidTr="00E2006B">
        <w:tc>
          <w:tcPr>
            <w:tcW w:w="4770" w:type="dxa"/>
            <w:tcBorders>
              <w:top w:val="nil"/>
              <w:bottom w:val="nil"/>
            </w:tcBorders>
          </w:tcPr>
          <w:p w14:paraId="044F059B" w14:textId="77777777" w:rsidR="002E198C" w:rsidRPr="004A5E80" w:rsidRDefault="002E198C" w:rsidP="002E198C">
            <w:r w:rsidRPr="004A5E80">
              <w:t>Revenue Deficiency</w:t>
            </w:r>
          </w:p>
        </w:tc>
        <w:tc>
          <w:tcPr>
            <w:tcW w:w="1716" w:type="dxa"/>
            <w:tcBorders>
              <w:top w:val="nil"/>
              <w:bottom w:val="nil"/>
            </w:tcBorders>
          </w:tcPr>
          <w:p w14:paraId="6696BABC" w14:textId="77777777" w:rsidR="002E198C" w:rsidRPr="004A5E80" w:rsidRDefault="002E198C" w:rsidP="002E198C">
            <w:pPr>
              <w:jc w:val="right"/>
            </w:pPr>
            <w:r w:rsidRPr="004A5E80">
              <w:t>$12,022,856</w:t>
            </w:r>
          </w:p>
        </w:tc>
      </w:tr>
      <w:tr w:rsidR="002E198C" w:rsidRPr="004A5E80" w14:paraId="37DB81DF" w14:textId="77777777" w:rsidTr="00E2006B">
        <w:tc>
          <w:tcPr>
            <w:tcW w:w="4770" w:type="dxa"/>
            <w:tcBorders>
              <w:top w:val="nil"/>
              <w:bottom w:val="nil"/>
            </w:tcBorders>
          </w:tcPr>
          <w:p w14:paraId="2F276799" w14:textId="77777777" w:rsidR="002E198C" w:rsidRPr="004A5E80" w:rsidRDefault="002E198C" w:rsidP="002E198C">
            <w:r w:rsidRPr="004A5E80">
              <w:t>Net Operating Income Multiplier</w:t>
            </w:r>
          </w:p>
        </w:tc>
        <w:tc>
          <w:tcPr>
            <w:tcW w:w="1716" w:type="dxa"/>
            <w:tcBorders>
              <w:top w:val="nil"/>
              <w:bottom w:val="nil"/>
            </w:tcBorders>
          </w:tcPr>
          <w:p w14:paraId="15BE1294" w14:textId="77777777" w:rsidR="002E198C" w:rsidRPr="004A5E80" w:rsidRDefault="002E198C" w:rsidP="002E198C">
            <w:pPr>
              <w:jc w:val="right"/>
              <w:rPr>
                <w:u w:val="single"/>
              </w:rPr>
            </w:pPr>
            <w:r w:rsidRPr="004A5E80">
              <w:rPr>
                <w:u w:val="single"/>
              </w:rPr>
              <w:t>1.3511</w:t>
            </w:r>
          </w:p>
        </w:tc>
      </w:tr>
      <w:tr w:rsidR="002E198C" w:rsidRPr="004A5E80" w14:paraId="095F6120" w14:textId="77777777" w:rsidTr="00E2006B">
        <w:tc>
          <w:tcPr>
            <w:tcW w:w="4770" w:type="dxa"/>
            <w:tcBorders>
              <w:top w:val="nil"/>
              <w:bottom w:val="nil"/>
            </w:tcBorders>
          </w:tcPr>
          <w:p w14:paraId="7B121423" w14:textId="77777777" w:rsidR="002E198C" w:rsidRPr="004A5E80" w:rsidRDefault="002E198C" w:rsidP="002E198C">
            <w:r w:rsidRPr="004A5E80">
              <w:t>Interim Revenue Increase</w:t>
            </w:r>
          </w:p>
        </w:tc>
        <w:tc>
          <w:tcPr>
            <w:tcW w:w="1716" w:type="dxa"/>
            <w:tcBorders>
              <w:top w:val="nil"/>
              <w:bottom w:val="nil"/>
            </w:tcBorders>
          </w:tcPr>
          <w:p w14:paraId="7F9B7188" w14:textId="77777777" w:rsidR="002E198C" w:rsidRPr="004A5E80" w:rsidRDefault="002E198C" w:rsidP="002E198C">
            <w:pPr>
              <w:jc w:val="right"/>
            </w:pPr>
            <w:r w:rsidRPr="004A5E80">
              <w:t>$16,244,207</w:t>
            </w:r>
          </w:p>
        </w:tc>
      </w:tr>
      <w:tr w:rsidR="002E198C" w:rsidRPr="004A5E80" w14:paraId="2AA64A0B" w14:textId="77777777" w:rsidTr="00E2006B">
        <w:tc>
          <w:tcPr>
            <w:tcW w:w="4770" w:type="dxa"/>
            <w:tcBorders>
              <w:top w:val="nil"/>
              <w:bottom w:val="nil"/>
            </w:tcBorders>
          </w:tcPr>
          <w:p w14:paraId="2B1DBFB3" w14:textId="77777777" w:rsidR="002E198C" w:rsidRPr="004A5E80" w:rsidRDefault="002E198C" w:rsidP="002E198C">
            <w:r w:rsidRPr="004A5E80">
              <w:t>Base Rate Revenues</w:t>
            </w:r>
          </w:p>
        </w:tc>
        <w:tc>
          <w:tcPr>
            <w:tcW w:w="1716" w:type="dxa"/>
            <w:tcBorders>
              <w:top w:val="nil"/>
              <w:bottom w:val="nil"/>
            </w:tcBorders>
          </w:tcPr>
          <w:p w14:paraId="2F4FFCE9" w14:textId="77777777" w:rsidR="002E198C" w:rsidRPr="004A5E80" w:rsidRDefault="002E198C" w:rsidP="002E198C">
            <w:pPr>
              <w:jc w:val="right"/>
            </w:pPr>
            <w:r w:rsidRPr="004A5E80">
              <w:t>$86,770,676</w:t>
            </w:r>
          </w:p>
        </w:tc>
      </w:tr>
      <w:tr w:rsidR="002E198C" w:rsidRPr="004A5E80" w14:paraId="24DEBC96" w14:textId="77777777" w:rsidTr="00E2006B">
        <w:tc>
          <w:tcPr>
            <w:tcW w:w="4770" w:type="dxa"/>
            <w:tcBorders>
              <w:top w:val="nil"/>
            </w:tcBorders>
          </w:tcPr>
          <w:p w14:paraId="487341D7" w14:textId="08A16FDD" w:rsidR="002E198C" w:rsidRPr="004A5E80" w:rsidRDefault="005E72C9" w:rsidP="002E198C">
            <w:r>
              <w:t>Approved</w:t>
            </w:r>
            <w:r w:rsidR="002E198C" w:rsidRPr="004A5E80">
              <w:t xml:space="preserve"> Percentage Increase Factor</w:t>
            </w:r>
          </w:p>
        </w:tc>
        <w:tc>
          <w:tcPr>
            <w:tcW w:w="1716" w:type="dxa"/>
            <w:tcBorders>
              <w:top w:val="nil"/>
            </w:tcBorders>
          </w:tcPr>
          <w:p w14:paraId="08B1B7A4" w14:textId="77777777" w:rsidR="002E198C" w:rsidRPr="004A5E80" w:rsidRDefault="002E198C" w:rsidP="002E198C">
            <w:pPr>
              <w:jc w:val="right"/>
            </w:pPr>
            <w:r w:rsidRPr="004A5E80">
              <w:t>18.72%</w:t>
            </w:r>
          </w:p>
        </w:tc>
      </w:tr>
    </w:tbl>
    <w:p w14:paraId="79D06C00" w14:textId="77777777" w:rsidR="002E198C" w:rsidRPr="004A5E80" w:rsidRDefault="002E198C" w:rsidP="002E198C">
      <w:pPr>
        <w:pStyle w:val="OrderBody"/>
      </w:pPr>
    </w:p>
    <w:p w14:paraId="430E62B4" w14:textId="33A3E507" w:rsidR="002E198C" w:rsidRPr="004A5E80" w:rsidRDefault="002E198C" w:rsidP="00F942D5">
      <w:pPr>
        <w:spacing w:after="240"/>
        <w:ind w:firstLine="720"/>
        <w:jc w:val="both"/>
      </w:pPr>
      <w:r w:rsidRPr="004A5E80">
        <w:t>As discussed in FCG witness Baugh’s direct testimony, the proposed interim rates were calculated using the methodology contained in Rule 25-7.040, F.A.C., which requires that any increase be applied evenly across the board to all rate classes based on their base rate revenues. As discussed</w:t>
      </w:r>
      <w:r w:rsidR="000B4770">
        <w:t xml:space="preserve"> previously</w:t>
      </w:r>
      <w:r w:rsidRPr="004A5E80">
        <w:t xml:space="preserve">, </w:t>
      </w:r>
      <w:r w:rsidR="00F942D5">
        <w:t xml:space="preserve">we find that </w:t>
      </w:r>
      <w:r w:rsidRPr="004A5E80">
        <w:t>an interim increase of $16,244,207</w:t>
      </w:r>
      <w:r w:rsidR="00F942D5">
        <w:t xml:space="preserve"> is appropriate</w:t>
      </w:r>
      <w:r w:rsidRPr="004A5E80">
        <w:t xml:space="preserve">. MFR schedule F-10 (Year-End), page 2, demonstrates the calculation of the interim percentage increase (18.72 percent) allocated to each rate class and the resulting proposed interim rates. The distribution charge for RS-100 customers would increase from $0.57421 per therm to $0.91507 </w:t>
      </w:r>
      <w:r w:rsidRPr="004A5E80">
        <w:lastRenderedPageBreak/>
        <w:t xml:space="preserve">per therm. The total monthly bill for residential customers using 14 therms per month would increase approximately $4.77, excluding taxes. </w:t>
      </w:r>
    </w:p>
    <w:p w14:paraId="29E10724" w14:textId="26BD0EEC" w:rsidR="002E198C" w:rsidRDefault="002E198C" w:rsidP="00A84E8B">
      <w:pPr>
        <w:pStyle w:val="OrderBody"/>
        <w:ind w:firstLine="720"/>
      </w:pPr>
      <w:r w:rsidRPr="004A5E80">
        <w:t xml:space="preserve">On May 21, 2026, FCG provided a draft customer notice for </w:t>
      </w:r>
      <w:r w:rsidR="000B4770">
        <w:t xml:space="preserve">our </w:t>
      </w:r>
      <w:r w:rsidRPr="004A5E80">
        <w:t>staff</w:t>
      </w:r>
      <w:r w:rsidR="000B4770">
        <w:t>’s</w:t>
      </w:r>
      <w:r w:rsidRPr="004A5E80">
        <w:t xml:space="preserve"> review and approval. </w:t>
      </w:r>
      <w:r w:rsidR="00F942D5">
        <w:t>FCG</w:t>
      </w:r>
      <w:r w:rsidRPr="004A5E80">
        <w:t>’</w:t>
      </w:r>
      <w:r w:rsidR="00F942D5">
        <w:t>s</w:t>
      </w:r>
      <w:r w:rsidRPr="004A5E80">
        <w:t xml:space="preserve"> proposed interim rates and associated tariffs, as shown in Attachment C, </w:t>
      </w:r>
      <w:r w:rsidR="00F942D5">
        <w:t>are hereby</w:t>
      </w:r>
      <w:r w:rsidRPr="004A5E80">
        <w:t xml:space="preserve"> approved. The interim rates sh</w:t>
      </w:r>
      <w:r w:rsidR="00F942D5">
        <w:t>all</w:t>
      </w:r>
      <w:r w:rsidRPr="004A5E80">
        <w:t xml:space="preserve"> be effective for all meter readings made on or after </w:t>
      </w:r>
      <w:r w:rsidR="00E05D71" w:rsidRPr="004A5E80">
        <w:t>July 20, 2026</w:t>
      </w:r>
      <w:r w:rsidRPr="004A5E80">
        <w:t xml:space="preserve">. Pursuant to Rule 25-22.0406(8), F.A.C., the Company </w:t>
      </w:r>
      <w:r w:rsidR="00F942D5">
        <w:t>shall</w:t>
      </w:r>
      <w:r w:rsidRPr="004A5E80">
        <w:t xml:space="preserve"> provide notice to customers of the revised rates with the first bill containing the new rates.</w:t>
      </w:r>
    </w:p>
    <w:p w14:paraId="1671953F" w14:textId="77777777" w:rsidR="00F942D5" w:rsidRDefault="00F942D5" w:rsidP="00F942D5">
      <w:pPr>
        <w:pStyle w:val="OrderBody"/>
      </w:pPr>
    </w:p>
    <w:p w14:paraId="6025B889" w14:textId="7D64C8FE" w:rsidR="00F942D5" w:rsidRPr="00F942D5" w:rsidRDefault="00F942D5" w:rsidP="00F942D5">
      <w:pPr>
        <w:pStyle w:val="OrderBody"/>
        <w:rPr>
          <w:u w:val="single"/>
        </w:rPr>
      </w:pPr>
      <w:r>
        <w:rPr>
          <w:u w:val="single"/>
        </w:rPr>
        <w:t>Corporate Undertaking</w:t>
      </w:r>
    </w:p>
    <w:p w14:paraId="6CBDB2D8" w14:textId="77777777" w:rsidR="002E198C" w:rsidRPr="004A5E80" w:rsidRDefault="002E198C" w:rsidP="002E198C">
      <w:pPr>
        <w:pStyle w:val="OrderBody"/>
      </w:pPr>
    </w:p>
    <w:p w14:paraId="6C8DB7A8" w14:textId="400F100B" w:rsidR="002E198C" w:rsidRPr="004A5E80" w:rsidRDefault="002E198C" w:rsidP="00F942D5">
      <w:pPr>
        <w:ind w:firstLine="720"/>
        <w:jc w:val="both"/>
      </w:pPr>
      <w:r w:rsidRPr="004A5E80">
        <w:t>Section 367.071(2)(a), F.S., requires that the difference between the interim rates and the previously authorized rates shall be collected under bond or corporate undertaking subject to refund with interest at a rate ordered by</w:t>
      </w:r>
      <w:r w:rsidR="00F942D5">
        <w:t xml:space="preserve"> this Commission</w:t>
      </w:r>
      <w:r w:rsidRPr="004A5E80">
        <w:t xml:space="preserve">. The statute also states that </w:t>
      </w:r>
      <w:r w:rsidR="00F942D5">
        <w:t>we</w:t>
      </w:r>
      <w:r w:rsidRPr="004A5E80">
        <w:t xml:space="preserve"> shall determine whether a corporate undertaking may be filed in lieu of a bond. FCG requested an annual interim revenue increase of $16,244,207 and to use a corporate undertaking to guarantee the maximum amount subject to refund during the period when interim rates are in effect.</w:t>
      </w:r>
    </w:p>
    <w:p w14:paraId="13CB9594" w14:textId="77777777" w:rsidR="002E198C" w:rsidRPr="004A5E80" w:rsidRDefault="002E198C" w:rsidP="002E198C">
      <w:pPr>
        <w:jc w:val="both"/>
      </w:pPr>
    </w:p>
    <w:p w14:paraId="043617D3" w14:textId="62B528C9" w:rsidR="002E198C" w:rsidRPr="004A5E80" w:rsidRDefault="002E198C" w:rsidP="00A84E8B">
      <w:pPr>
        <w:ind w:firstLine="720"/>
        <w:jc w:val="both"/>
      </w:pPr>
      <w:r w:rsidRPr="004A5E80">
        <w:t xml:space="preserve">The criteria for a corporate undertaking include sufficient liquidity, ownership equity, profitability, and interest coverage to guarantee any potential refund. Based on an estimated eleven-month collection period of interim rates, the maximum amount of revenues that may need to be protected is $15,144,143. </w:t>
      </w:r>
      <w:r w:rsidR="00F942D5">
        <w:t>We</w:t>
      </w:r>
      <w:r w:rsidRPr="004A5E80">
        <w:t xml:space="preserve"> reviewed FCG’s three most recent annual reports (2025, 2024, and 2023) filed with </w:t>
      </w:r>
      <w:r w:rsidR="00F942D5">
        <w:t xml:space="preserve">us </w:t>
      </w:r>
      <w:r w:rsidRPr="004A5E80">
        <w:t xml:space="preserve">to determine if FCG can support a corporate undertaking in the amount requested. </w:t>
      </w:r>
    </w:p>
    <w:p w14:paraId="2A3CB0F3" w14:textId="77777777" w:rsidR="002E198C" w:rsidRPr="004A5E80" w:rsidRDefault="002E198C" w:rsidP="002E198C">
      <w:pPr>
        <w:jc w:val="both"/>
      </w:pPr>
    </w:p>
    <w:p w14:paraId="755D3610" w14:textId="7CE38377" w:rsidR="002E198C" w:rsidRPr="004A5E80" w:rsidRDefault="002E198C" w:rsidP="00A84E8B">
      <w:pPr>
        <w:ind w:firstLine="720"/>
        <w:jc w:val="both"/>
      </w:pPr>
      <w:r w:rsidRPr="004A5E80">
        <w:t xml:space="preserve">Based on </w:t>
      </w:r>
      <w:r w:rsidR="00F942D5">
        <w:t>our</w:t>
      </w:r>
      <w:r w:rsidRPr="004A5E80">
        <w:t xml:space="preserve"> analysis, FCG’s financial information demonstrates the </w:t>
      </w:r>
      <w:r w:rsidR="00827415">
        <w:t>C</w:t>
      </w:r>
      <w:r w:rsidRPr="004A5E80">
        <w:t>ompany does not have the financial capacity to support a corporate undertaking in the amount requested. FCG has acceptable levels of liquidity (working capital and current ratio), but inadequate levels of equity, interest coverage, and profitability. The maximum limit for a corporate undertaking is one-half of FCG’s most recent year-end net income. FCG’s 2025 net income is $5,169,000 as reported which is one-third of the Company’s requested interim increase. In addition, FCG’s average net income over the three-year period is also less than the requested corporate undertaking amount. Based on this analysis FCG does not qualify for a stand-alone corporate undertaking.</w:t>
      </w:r>
    </w:p>
    <w:p w14:paraId="13EFF136" w14:textId="77777777" w:rsidR="002E198C" w:rsidRPr="004A5E80" w:rsidRDefault="002E198C" w:rsidP="002E198C">
      <w:pPr>
        <w:jc w:val="both"/>
      </w:pPr>
    </w:p>
    <w:p w14:paraId="77055F95" w14:textId="7A819243" w:rsidR="002E198C" w:rsidRPr="004A5E80" w:rsidRDefault="00F942D5" w:rsidP="00A84E8B">
      <w:pPr>
        <w:ind w:firstLine="720"/>
        <w:jc w:val="both"/>
      </w:pPr>
      <w:r>
        <w:t xml:space="preserve">Alternatively, </w:t>
      </w:r>
      <w:r w:rsidR="002E198C" w:rsidRPr="004A5E80">
        <w:t xml:space="preserve">FCG </w:t>
      </w:r>
      <w:r w:rsidR="005E72C9">
        <w:t xml:space="preserve">could </w:t>
      </w:r>
      <w:r w:rsidR="002E198C" w:rsidRPr="004A5E80">
        <w:t xml:space="preserve">obtain and file a letter </w:t>
      </w:r>
      <w:r w:rsidR="005E72C9">
        <w:t xml:space="preserve">from </w:t>
      </w:r>
      <w:r w:rsidR="002E198C" w:rsidRPr="004A5E80">
        <w:t xml:space="preserve">its parent company, CUC, that guarantees the corporate undertaking amount on behalf of FCG. </w:t>
      </w:r>
      <w:r w:rsidR="005E72C9">
        <w:t>We</w:t>
      </w:r>
      <w:r w:rsidR="002E198C" w:rsidRPr="004A5E80">
        <w:t xml:space="preserve"> reviewed CUC’s three most recent annual reports (2025, 2024, and 2023) filed with the Securities and Exchange Commission (SEC) and confirmed that CUC has the financial capacity to guarantee a corporate undertaking on behalf of FCG. On June 9, 2026, FCG filed a letter from CUC confirming CUC’s financial commitment to guarantee a corporate undertaking in an amount up to $15,144,143.</w:t>
      </w:r>
      <w:r w:rsidR="002E198C" w:rsidRPr="004A5E80">
        <w:rPr>
          <w:vertAlign w:val="superscript"/>
        </w:rPr>
        <w:footnoteReference w:id="8"/>
      </w:r>
      <w:r w:rsidR="002E198C" w:rsidRPr="004A5E80">
        <w:t xml:space="preserve"> This brief financial analysis is only appropriate for deciding if FCG can support a corporate undertaking in the amount requested and </w:t>
      </w:r>
      <w:r w:rsidR="005E72C9">
        <w:t>shall</w:t>
      </w:r>
      <w:r w:rsidR="002E198C" w:rsidRPr="004A5E80">
        <w:t xml:space="preserve"> not be considered a finding regarding other issues in this proceeding.</w:t>
      </w:r>
    </w:p>
    <w:p w14:paraId="724F5BE3" w14:textId="3931E3B9" w:rsidR="002E198C" w:rsidRPr="004A5E80" w:rsidRDefault="002E198C" w:rsidP="00A84E8B">
      <w:pPr>
        <w:pStyle w:val="OrderBody"/>
        <w:ind w:firstLine="720"/>
      </w:pPr>
      <w:r w:rsidRPr="004A5E80">
        <w:lastRenderedPageBreak/>
        <w:t xml:space="preserve">Accordingly, </w:t>
      </w:r>
      <w:r w:rsidR="005E72C9">
        <w:t>we find that</w:t>
      </w:r>
      <w:r w:rsidRPr="004A5E80">
        <w:t xml:space="preserve"> the appropriate security to guarantee the funds collected subject to refund is a corporate undertaking guaranteed by CUC of behalf of FCG.</w:t>
      </w:r>
    </w:p>
    <w:p w14:paraId="5F9B77BC" w14:textId="77777777" w:rsidR="002E198C" w:rsidRPr="004A5E80" w:rsidRDefault="002E198C" w:rsidP="002E198C">
      <w:pPr>
        <w:pStyle w:val="OrderBody"/>
      </w:pPr>
    </w:p>
    <w:p w14:paraId="5716F1D8" w14:textId="77777777" w:rsidR="002E198C" w:rsidRPr="004A5E80" w:rsidRDefault="002E198C" w:rsidP="002E198C">
      <w:pPr>
        <w:pStyle w:val="OrderBody"/>
      </w:pPr>
      <w:r w:rsidRPr="004A5E80">
        <w:tab/>
        <w:t>Based on the foregoing, it is</w:t>
      </w:r>
    </w:p>
    <w:p w14:paraId="50367FD6" w14:textId="77777777" w:rsidR="002E198C" w:rsidRPr="004A5E80" w:rsidRDefault="002E198C" w:rsidP="002E198C">
      <w:pPr>
        <w:pStyle w:val="OrderBody"/>
      </w:pPr>
    </w:p>
    <w:p w14:paraId="577B5EB6" w14:textId="2DCADA75" w:rsidR="002E198C" w:rsidRDefault="002E198C" w:rsidP="002E198C">
      <w:pPr>
        <w:pStyle w:val="OrderBody"/>
      </w:pPr>
      <w:r w:rsidRPr="004A5E80">
        <w:tab/>
        <w:t>ORDERED by the Florida Public Service Commission that</w:t>
      </w:r>
      <w:r w:rsidR="00D91AB4">
        <w:t xml:space="preserve"> Florida City Gas’ requested interim revenue requirement and rate increases are hereby approved as set forth in the body of this order. It is further</w:t>
      </w:r>
    </w:p>
    <w:p w14:paraId="4503945A" w14:textId="77777777" w:rsidR="00D91AB4" w:rsidRDefault="00D91AB4" w:rsidP="002E198C">
      <w:pPr>
        <w:pStyle w:val="OrderBody"/>
      </w:pPr>
    </w:p>
    <w:p w14:paraId="0568A49C" w14:textId="75A699AF" w:rsidR="00D91AB4" w:rsidRDefault="00D91AB4" w:rsidP="002E198C">
      <w:pPr>
        <w:pStyle w:val="OrderBody"/>
      </w:pPr>
      <w:r>
        <w:tab/>
        <w:t>ORDERED that all funds collected subject to refund be secured by a corporate undertaking by Florida City Gas’ parent company, Chesapeake Utilities Corporation, to guarantee any potential refund of revenues collected under interim conditions as set forth herein. It is further</w:t>
      </w:r>
    </w:p>
    <w:p w14:paraId="4EE02E6B" w14:textId="77777777" w:rsidR="00D91AB4" w:rsidRDefault="00D91AB4" w:rsidP="002E198C">
      <w:pPr>
        <w:pStyle w:val="OrderBody"/>
      </w:pPr>
    </w:p>
    <w:p w14:paraId="016B6170" w14:textId="10B809F5" w:rsidR="00D91AB4" w:rsidRDefault="00D91AB4" w:rsidP="002E198C">
      <w:pPr>
        <w:pStyle w:val="OrderBody"/>
      </w:pPr>
      <w:r>
        <w:tab/>
        <w:t>ORDERED that any interim revenue increase authorized shall be applied evenly across the board to all rate classes based on their base rate revenues, and shall be collected on a cents-per-therm basis. It is further</w:t>
      </w:r>
    </w:p>
    <w:p w14:paraId="07043E18" w14:textId="77777777" w:rsidR="00D91AB4" w:rsidRDefault="00D91AB4" w:rsidP="002E198C">
      <w:pPr>
        <w:pStyle w:val="OrderBody"/>
      </w:pPr>
    </w:p>
    <w:p w14:paraId="40D8A00B" w14:textId="078ABBAE" w:rsidR="00D91AB4" w:rsidRDefault="00D91AB4" w:rsidP="002E198C">
      <w:pPr>
        <w:pStyle w:val="OrderBody"/>
      </w:pPr>
      <w:r>
        <w:tab/>
        <w:t>ORDERED that the interim rates shall be effective for all meter readings made on or after July 20, 2026. It is further</w:t>
      </w:r>
    </w:p>
    <w:p w14:paraId="3A22AA91" w14:textId="77777777" w:rsidR="00D91AB4" w:rsidRDefault="00D91AB4" w:rsidP="002E198C">
      <w:pPr>
        <w:pStyle w:val="OrderBody"/>
      </w:pPr>
    </w:p>
    <w:p w14:paraId="2D19A3D7" w14:textId="4074F56B" w:rsidR="00D91AB4" w:rsidRDefault="00D91AB4" w:rsidP="002E198C">
      <w:pPr>
        <w:pStyle w:val="OrderBody"/>
      </w:pPr>
      <w:r>
        <w:tab/>
        <w:t>ORDERED that this docket shall remain open pending our final action on Florida City Gas’ requested rate increase.</w:t>
      </w:r>
    </w:p>
    <w:p w14:paraId="2B466C5B" w14:textId="77777777" w:rsidR="005E72C9" w:rsidRPr="004A5E80" w:rsidRDefault="005E72C9" w:rsidP="002E198C">
      <w:pPr>
        <w:pStyle w:val="OrderBody"/>
      </w:pPr>
    </w:p>
    <w:p w14:paraId="4BD08407" w14:textId="0D695874" w:rsidR="002E198C" w:rsidRDefault="002E198C" w:rsidP="002E198C">
      <w:pPr>
        <w:pStyle w:val="OrderBody"/>
        <w:keepNext/>
        <w:keepLines/>
      </w:pPr>
      <w:r w:rsidRPr="004A5E80">
        <w:tab/>
        <w:t xml:space="preserve">By ORDER of the Florida Public Service Commission this </w:t>
      </w:r>
      <w:bookmarkStart w:id="6" w:name="replaceDate"/>
      <w:bookmarkEnd w:id="6"/>
      <w:r w:rsidR="009A573F">
        <w:rPr>
          <w:u w:val="single"/>
        </w:rPr>
        <w:t>24th</w:t>
      </w:r>
      <w:r w:rsidR="009A573F">
        <w:t xml:space="preserve"> day of </w:t>
      </w:r>
      <w:r w:rsidR="009A573F">
        <w:rPr>
          <w:u w:val="single"/>
        </w:rPr>
        <w:t>July</w:t>
      </w:r>
      <w:r w:rsidR="009A573F">
        <w:t xml:space="preserve">, </w:t>
      </w:r>
      <w:r w:rsidR="009A573F">
        <w:rPr>
          <w:u w:val="single"/>
        </w:rPr>
        <w:t>2026</w:t>
      </w:r>
      <w:r w:rsidR="009A573F">
        <w:t>.</w:t>
      </w:r>
    </w:p>
    <w:p w14:paraId="61E117F0" w14:textId="77777777" w:rsidR="009A573F" w:rsidRPr="009A573F" w:rsidRDefault="009A573F" w:rsidP="002E198C">
      <w:pPr>
        <w:pStyle w:val="OrderBody"/>
        <w:keepNext/>
        <w:keepLines/>
      </w:pPr>
    </w:p>
    <w:p w14:paraId="5C85829E" w14:textId="77777777" w:rsidR="003B540D" w:rsidRPr="004A5E80" w:rsidRDefault="003B540D" w:rsidP="002E198C">
      <w:pPr>
        <w:pStyle w:val="OrderBody"/>
        <w:keepNext/>
        <w:keepLines/>
      </w:pPr>
    </w:p>
    <w:p w14:paraId="7D21671B" w14:textId="77777777" w:rsidR="002E198C" w:rsidRPr="004A5E80" w:rsidRDefault="002E198C" w:rsidP="002E198C">
      <w:pPr>
        <w:pStyle w:val="OrderBody"/>
        <w:keepNext/>
        <w:keepLines/>
      </w:pPr>
    </w:p>
    <w:p w14:paraId="02AFF73C" w14:textId="77777777" w:rsidR="009A573F" w:rsidRPr="004A5E80" w:rsidRDefault="009A573F" w:rsidP="002E198C">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2E198C" w:rsidRPr="004A5E80" w14:paraId="3C38E4BE" w14:textId="77777777" w:rsidTr="002E198C">
        <w:tc>
          <w:tcPr>
            <w:tcW w:w="720" w:type="dxa"/>
            <w:shd w:val="clear" w:color="auto" w:fill="auto"/>
          </w:tcPr>
          <w:p w14:paraId="73EC2F82" w14:textId="77777777" w:rsidR="002E198C" w:rsidRPr="004A5E80" w:rsidRDefault="002E198C" w:rsidP="002E198C">
            <w:pPr>
              <w:pStyle w:val="OrderBody"/>
              <w:keepNext/>
              <w:keepLines/>
            </w:pPr>
            <w:bookmarkStart w:id="7" w:name="bkmrkSignature" w:colFirst="0" w:colLast="0"/>
          </w:p>
        </w:tc>
        <w:tc>
          <w:tcPr>
            <w:tcW w:w="4320" w:type="dxa"/>
            <w:tcBorders>
              <w:bottom w:val="single" w:sz="4" w:space="0" w:color="auto"/>
            </w:tcBorders>
            <w:shd w:val="clear" w:color="auto" w:fill="auto"/>
          </w:tcPr>
          <w:p w14:paraId="46E78DD4" w14:textId="49153049" w:rsidR="002E198C" w:rsidRPr="004A5E80" w:rsidRDefault="00FC3F41" w:rsidP="002E198C">
            <w:pPr>
              <w:pStyle w:val="OrderBody"/>
              <w:keepNext/>
              <w:keepLines/>
            </w:pPr>
            <w:r>
              <w:t>/s/ Adam J. Teitzman</w:t>
            </w:r>
          </w:p>
        </w:tc>
      </w:tr>
      <w:bookmarkEnd w:id="7"/>
      <w:tr w:rsidR="002E198C" w:rsidRPr="004A5E80" w14:paraId="50B36DD4" w14:textId="77777777" w:rsidTr="002E198C">
        <w:tc>
          <w:tcPr>
            <w:tcW w:w="720" w:type="dxa"/>
            <w:shd w:val="clear" w:color="auto" w:fill="auto"/>
          </w:tcPr>
          <w:p w14:paraId="6DAC27FC" w14:textId="77777777" w:rsidR="002E198C" w:rsidRPr="004A5E80" w:rsidRDefault="002E198C" w:rsidP="002E198C">
            <w:pPr>
              <w:pStyle w:val="OrderBody"/>
              <w:keepNext/>
              <w:keepLines/>
            </w:pPr>
          </w:p>
        </w:tc>
        <w:tc>
          <w:tcPr>
            <w:tcW w:w="4320" w:type="dxa"/>
            <w:tcBorders>
              <w:top w:val="single" w:sz="4" w:space="0" w:color="auto"/>
            </w:tcBorders>
            <w:shd w:val="clear" w:color="auto" w:fill="auto"/>
          </w:tcPr>
          <w:p w14:paraId="41560803" w14:textId="77777777" w:rsidR="002E198C" w:rsidRPr="004A5E80" w:rsidRDefault="002E198C" w:rsidP="002E198C">
            <w:pPr>
              <w:pStyle w:val="OrderBody"/>
              <w:keepNext/>
              <w:keepLines/>
            </w:pPr>
            <w:r w:rsidRPr="004A5E80">
              <w:t>ADAM TEITZMAN</w:t>
            </w:r>
          </w:p>
          <w:p w14:paraId="0086DC05" w14:textId="1C7E439E" w:rsidR="002E198C" w:rsidRPr="004A5E80" w:rsidRDefault="002E198C" w:rsidP="002E198C">
            <w:pPr>
              <w:pStyle w:val="OrderBody"/>
              <w:keepNext/>
              <w:keepLines/>
            </w:pPr>
            <w:r w:rsidRPr="004A5E80">
              <w:t>Commission Clerk</w:t>
            </w:r>
          </w:p>
        </w:tc>
      </w:tr>
    </w:tbl>
    <w:p w14:paraId="45D2BAB1" w14:textId="77777777" w:rsidR="002E198C" w:rsidRPr="004A5E80" w:rsidRDefault="002E198C" w:rsidP="002E198C">
      <w:pPr>
        <w:pStyle w:val="OrderSigInfo"/>
        <w:keepNext/>
        <w:keepLines/>
      </w:pPr>
      <w:r w:rsidRPr="004A5E80">
        <w:t>Florida Public Service Commission</w:t>
      </w:r>
    </w:p>
    <w:p w14:paraId="7E6009FC" w14:textId="77777777" w:rsidR="002E198C" w:rsidRPr="004A5E80" w:rsidRDefault="002E198C" w:rsidP="002E198C">
      <w:pPr>
        <w:pStyle w:val="OrderSigInfo"/>
        <w:keepNext/>
        <w:keepLines/>
      </w:pPr>
      <w:r w:rsidRPr="004A5E80">
        <w:t>2540 Shumard Oak Boulevard</w:t>
      </w:r>
    </w:p>
    <w:p w14:paraId="5D113A10" w14:textId="77777777" w:rsidR="002E198C" w:rsidRPr="004A5E80" w:rsidRDefault="002E198C" w:rsidP="002E198C">
      <w:pPr>
        <w:pStyle w:val="OrderSigInfo"/>
        <w:keepNext/>
        <w:keepLines/>
      </w:pPr>
      <w:r w:rsidRPr="004A5E80">
        <w:t>Tallahassee, Florida 32399</w:t>
      </w:r>
    </w:p>
    <w:p w14:paraId="472AF9C2" w14:textId="77777777" w:rsidR="002E198C" w:rsidRPr="004A5E80" w:rsidRDefault="002E198C" w:rsidP="002E198C">
      <w:pPr>
        <w:pStyle w:val="OrderSigInfo"/>
        <w:keepNext/>
        <w:keepLines/>
      </w:pPr>
      <w:r w:rsidRPr="004A5E80">
        <w:t>(850) 413</w:t>
      </w:r>
      <w:r w:rsidRPr="004A5E80">
        <w:noBreakHyphen/>
        <w:t>6770</w:t>
      </w:r>
    </w:p>
    <w:p w14:paraId="12B7C011" w14:textId="77777777" w:rsidR="002E198C" w:rsidRPr="004A5E80" w:rsidRDefault="002E198C" w:rsidP="002E198C">
      <w:pPr>
        <w:pStyle w:val="OrderSigInfo"/>
        <w:keepNext/>
        <w:keepLines/>
      </w:pPr>
      <w:r w:rsidRPr="004A5E80">
        <w:t>www.floridapsc.com</w:t>
      </w:r>
    </w:p>
    <w:p w14:paraId="51739448" w14:textId="77777777" w:rsidR="002E198C" w:rsidRPr="004A5E80" w:rsidRDefault="002E198C" w:rsidP="002E198C">
      <w:pPr>
        <w:pStyle w:val="OrderSigInfo"/>
        <w:keepNext/>
        <w:keepLines/>
      </w:pPr>
    </w:p>
    <w:p w14:paraId="619E4879" w14:textId="77777777" w:rsidR="002E198C" w:rsidRPr="004A5E80" w:rsidRDefault="002E198C" w:rsidP="002E198C">
      <w:pPr>
        <w:pStyle w:val="OrderSigInfo"/>
        <w:keepNext/>
        <w:keepLines/>
      </w:pPr>
      <w:r w:rsidRPr="004A5E80">
        <w:t>Copies furnished:  A copy of this document is provided to the parties of record at the time of issuance and, if applicable, interested persons.</w:t>
      </w:r>
    </w:p>
    <w:p w14:paraId="228E2B54" w14:textId="77777777" w:rsidR="002E198C" w:rsidRPr="004A5E80" w:rsidRDefault="002E198C" w:rsidP="002E198C">
      <w:pPr>
        <w:pStyle w:val="OrderBody"/>
        <w:keepNext/>
        <w:keepLines/>
      </w:pPr>
    </w:p>
    <w:p w14:paraId="35F0CE7B" w14:textId="47B7B36D" w:rsidR="002E198C" w:rsidRPr="004A5E80" w:rsidRDefault="002E198C" w:rsidP="005E72C9">
      <w:pPr>
        <w:pStyle w:val="OrderBody"/>
        <w:keepNext/>
        <w:keepLines/>
      </w:pPr>
      <w:r w:rsidRPr="004A5E80">
        <w:t>MRT</w:t>
      </w:r>
    </w:p>
    <w:p w14:paraId="6BB0097F" w14:textId="198942F5" w:rsidR="00DF0951" w:rsidRDefault="00DF0951" w:rsidP="002E198C">
      <w:pPr>
        <w:pStyle w:val="OrderBody"/>
      </w:pPr>
    </w:p>
    <w:p w14:paraId="1A35D620" w14:textId="77777777" w:rsidR="009A573F" w:rsidRDefault="009A573F" w:rsidP="00DF0951">
      <w:pPr>
        <w:pStyle w:val="CenterUnderline"/>
      </w:pPr>
    </w:p>
    <w:p w14:paraId="67E7918B" w14:textId="6E9D0E2D" w:rsidR="00DF0951" w:rsidRDefault="00DF0951" w:rsidP="00DF0951">
      <w:pPr>
        <w:pStyle w:val="CenterUnderline"/>
      </w:pPr>
      <w:r>
        <w:lastRenderedPageBreak/>
        <w:t>NOTICE OF FURTHER PROCEEDINGS OR JUDICIAL REVIEW</w:t>
      </w:r>
    </w:p>
    <w:p w14:paraId="31D538E2" w14:textId="58DE6C24" w:rsidR="00DF0951" w:rsidRDefault="00DF0951" w:rsidP="00DF0951">
      <w:pPr>
        <w:pStyle w:val="OrderBody"/>
      </w:pPr>
    </w:p>
    <w:p w14:paraId="37E187B6" w14:textId="77777777" w:rsidR="00DF0951" w:rsidRDefault="00DF0951" w:rsidP="00DF0951">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7EBC15E" w14:textId="77777777" w:rsidR="00DF0951" w:rsidRDefault="00DF0951" w:rsidP="00DF0951">
      <w:pPr>
        <w:pStyle w:val="OrderBody"/>
      </w:pPr>
    </w:p>
    <w:p w14:paraId="646D4888" w14:textId="77777777" w:rsidR="00DF0951" w:rsidRDefault="00DF0951" w:rsidP="00DF0951">
      <w:pPr>
        <w:pStyle w:val="OrderBody"/>
      </w:pPr>
      <w:r>
        <w:tab/>
        <w:t xml:space="preserve">Any party adversely affected by this order, which is non-final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w:t>
      </w:r>
      <w:r>
        <w:rPr>
          <w:u w:val="single"/>
        </w:rPr>
        <w:t>Citizens of the State of Florida v. Mayo</w:t>
      </w:r>
      <w:r>
        <w:t>, 316 So.2d 262 (Fla. 1975), states that an order on interim rates is not final or reviewable until a final order is issued.  Such review may be requested from the appropriate court, as described above, pursuant to Rule 9.100, Florida Rules of Appellate Procedure.</w:t>
      </w:r>
    </w:p>
    <w:p w14:paraId="3C4CA011" w14:textId="77777777" w:rsidR="00DF0951" w:rsidRPr="004A5E80" w:rsidRDefault="00DF0951" w:rsidP="002E198C">
      <w:pPr>
        <w:pStyle w:val="OrderBody"/>
      </w:pPr>
    </w:p>
    <w:p w14:paraId="4B342351" w14:textId="77777777" w:rsidR="002E198C" w:rsidRPr="004A5E80" w:rsidRDefault="002E198C" w:rsidP="002E198C">
      <w:pPr>
        <w:pStyle w:val="OrderBody"/>
      </w:pPr>
    </w:p>
    <w:p w14:paraId="18FA7DB7" w14:textId="77777777" w:rsidR="002E198C" w:rsidRDefault="002E198C" w:rsidP="002E198C">
      <w:pPr>
        <w:pStyle w:val="OrderBody"/>
        <w:sectPr w:rsidR="002E198C">
          <w:headerReference w:type="default" r:id="rId7"/>
          <w:pgSz w:w="12240" w:h="15840" w:code="1"/>
          <w:pgMar w:top="1440" w:right="1440" w:bottom="1440" w:left="1440" w:header="720" w:footer="720" w:gutter="0"/>
          <w:cols w:space="720"/>
          <w:titlePg/>
          <w:docGrid w:linePitch="360"/>
        </w:sectPr>
      </w:pPr>
    </w:p>
    <w:p w14:paraId="1B6B9C4E" w14:textId="77777777" w:rsidR="002E198C" w:rsidRPr="002E198C" w:rsidRDefault="002E198C" w:rsidP="002E198C">
      <w:pPr>
        <w:spacing w:after="240"/>
        <w:contextualSpacing/>
        <w:jc w:val="center"/>
        <w:rPr>
          <w:bCs/>
        </w:rPr>
      </w:pPr>
    </w:p>
    <w:p w14:paraId="6D6D23BE" w14:textId="369F617C" w:rsidR="002E198C" w:rsidRPr="002E198C" w:rsidRDefault="002E198C" w:rsidP="002E198C">
      <w:pPr>
        <w:spacing w:after="240"/>
        <w:contextualSpacing/>
        <w:jc w:val="center"/>
        <w:rPr>
          <w:rFonts w:ascii="Arial" w:hAnsi="Arial" w:cs="Arial"/>
          <w:b/>
        </w:rPr>
      </w:pPr>
      <w:r w:rsidRPr="002E198C">
        <w:rPr>
          <w:rFonts w:ascii="Arial" w:hAnsi="Arial" w:cs="Arial"/>
          <w:b/>
        </w:rPr>
        <w:t>Florida City Gas, INC.</w:t>
      </w:r>
    </w:p>
    <w:p w14:paraId="0F011508"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Docket No. 20260026-GU</w:t>
      </w:r>
    </w:p>
    <w:p w14:paraId="379081B0"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Interim Base Year</w:t>
      </w:r>
    </w:p>
    <w:p w14:paraId="3DCC161A"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December 31, 2025</w:t>
      </w:r>
    </w:p>
    <w:tbl>
      <w:tblPr>
        <w:tblpPr w:leftFromText="180" w:rightFromText="180" w:horzAnchor="margin" w:tblpY="1890"/>
        <w:tblW w:w="9009" w:type="dxa"/>
        <w:tblLook w:val="04A0" w:firstRow="1" w:lastRow="0" w:firstColumn="1" w:lastColumn="0" w:noHBand="0" w:noVBand="1"/>
      </w:tblPr>
      <w:tblGrid>
        <w:gridCol w:w="266"/>
        <w:gridCol w:w="3204"/>
        <w:gridCol w:w="2070"/>
        <w:gridCol w:w="1440"/>
        <w:gridCol w:w="1729"/>
        <w:gridCol w:w="300"/>
      </w:tblGrid>
      <w:tr w:rsidR="002E198C" w:rsidRPr="002E198C" w14:paraId="62353434" w14:textId="77777777" w:rsidTr="00E2006B">
        <w:trPr>
          <w:trHeight w:val="300"/>
        </w:trPr>
        <w:tc>
          <w:tcPr>
            <w:tcW w:w="266" w:type="dxa"/>
            <w:tcBorders>
              <w:top w:val="single" w:sz="4" w:space="0" w:color="auto"/>
              <w:left w:val="single" w:sz="4" w:space="0" w:color="auto"/>
              <w:bottom w:val="nil"/>
              <w:right w:val="nil"/>
            </w:tcBorders>
            <w:noWrap/>
            <w:vAlign w:val="bottom"/>
            <w:hideMark/>
          </w:tcPr>
          <w:p w14:paraId="5978C321"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tcBorders>
              <w:top w:val="single" w:sz="4" w:space="0" w:color="auto"/>
              <w:left w:val="nil"/>
              <w:bottom w:val="nil"/>
              <w:right w:val="nil"/>
            </w:tcBorders>
            <w:noWrap/>
            <w:vAlign w:val="bottom"/>
            <w:hideMark/>
          </w:tcPr>
          <w:p w14:paraId="08E2A11C"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2070" w:type="dxa"/>
            <w:tcBorders>
              <w:top w:val="single" w:sz="4" w:space="0" w:color="auto"/>
              <w:left w:val="nil"/>
              <w:bottom w:val="nil"/>
              <w:right w:val="nil"/>
            </w:tcBorders>
            <w:noWrap/>
            <w:vAlign w:val="bottom"/>
            <w:hideMark/>
          </w:tcPr>
          <w:p w14:paraId="794B53A9" w14:textId="77777777" w:rsidR="002E198C" w:rsidRPr="002E198C" w:rsidRDefault="002E198C" w:rsidP="002E198C">
            <w:pPr>
              <w:jc w:val="center"/>
              <w:rPr>
                <w:b/>
                <w:color w:val="000000"/>
                <w:sz w:val="22"/>
              </w:rPr>
            </w:pPr>
            <w:r w:rsidRPr="002E198C">
              <w:rPr>
                <w:b/>
                <w:color w:val="000000"/>
                <w:sz w:val="22"/>
              </w:rPr>
              <w:t>Historical Test</w:t>
            </w:r>
          </w:p>
        </w:tc>
        <w:tc>
          <w:tcPr>
            <w:tcW w:w="1440" w:type="dxa"/>
            <w:tcBorders>
              <w:top w:val="single" w:sz="4" w:space="0" w:color="auto"/>
              <w:left w:val="nil"/>
              <w:bottom w:val="nil"/>
              <w:right w:val="nil"/>
            </w:tcBorders>
            <w:noWrap/>
            <w:vAlign w:val="bottom"/>
            <w:hideMark/>
          </w:tcPr>
          <w:p w14:paraId="59D565D7" w14:textId="529A7531" w:rsidR="002E198C" w:rsidRPr="002E198C" w:rsidRDefault="005E72C9" w:rsidP="002E198C">
            <w:pPr>
              <w:jc w:val="center"/>
              <w:rPr>
                <w:b/>
                <w:color w:val="000000"/>
                <w:sz w:val="22"/>
              </w:rPr>
            </w:pPr>
            <w:r>
              <w:rPr>
                <w:b/>
                <w:color w:val="000000"/>
                <w:sz w:val="22"/>
              </w:rPr>
              <w:t>Commission</w:t>
            </w:r>
          </w:p>
        </w:tc>
        <w:tc>
          <w:tcPr>
            <w:tcW w:w="1729" w:type="dxa"/>
            <w:tcBorders>
              <w:top w:val="single" w:sz="4" w:space="0" w:color="auto"/>
              <w:left w:val="nil"/>
              <w:bottom w:val="nil"/>
              <w:right w:val="nil"/>
            </w:tcBorders>
            <w:noWrap/>
            <w:vAlign w:val="bottom"/>
            <w:hideMark/>
          </w:tcPr>
          <w:p w14:paraId="6AB0D53A" w14:textId="77777777" w:rsidR="002E198C" w:rsidRPr="002E198C" w:rsidRDefault="002E198C" w:rsidP="002E198C">
            <w:pPr>
              <w:jc w:val="center"/>
              <w:rPr>
                <w:b/>
                <w:color w:val="000000"/>
                <w:sz w:val="22"/>
              </w:rPr>
            </w:pPr>
            <w:r w:rsidRPr="002E198C">
              <w:rPr>
                <w:b/>
                <w:color w:val="000000"/>
                <w:sz w:val="22"/>
              </w:rPr>
              <w:t>Adjusted Historical Test</w:t>
            </w:r>
          </w:p>
        </w:tc>
        <w:tc>
          <w:tcPr>
            <w:tcW w:w="300" w:type="dxa"/>
            <w:tcBorders>
              <w:top w:val="single" w:sz="4" w:space="0" w:color="auto"/>
              <w:left w:val="nil"/>
              <w:bottom w:val="nil"/>
              <w:right w:val="single" w:sz="4" w:space="0" w:color="auto"/>
            </w:tcBorders>
            <w:noWrap/>
            <w:vAlign w:val="bottom"/>
            <w:hideMark/>
          </w:tcPr>
          <w:p w14:paraId="1CF0F008"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5F9218EA" w14:textId="77777777" w:rsidTr="00E2006B">
        <w:trPr>
          <w:trHeight w:val="300"/>
        </w:trPr>
        <w:tc>
          <w:tcPr>
            <w:tcW w:w="266" w:type="dxa"/>
            <w:tcBorders>
              <w:top w:val="nil"/>
              <w:left w:val="single" w:sz="4" w:space="0" w:color="auto"/>
              <w:bottom w:val="single" w:sz="4" w:space="0" w:color="auto"/>
              <w:right w:val="nil"/>
            </w:tcBorders>
            <w:noWrap/>
            <w:vAlign w:val="bottom"/>
            <w:hideMark/>
          </w:tcPr>
          <w:p w14:paraId="2E208BCE"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tcBorders>
              <w:top w:val="nil"/>
              <w:left w:val="nil"/>
              <w:bottom w:val="single" w:sz="4" w:space="0" w:color="auto"/>
              <w:right w:val="nil"/>
            </w:tcBorders>
            <w:noWrap/>
            <w:vAlign w:val="bottom"/>
            <w:hideMark/>
          </w:tcPr>
          <w:p w14:paraId="31A01A4E"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2070" w:type="dxa"/>
            <w:tcBorders>
              <w:top w:val="nil"/>
              <w:left w:val="nil"/>
              <w:bottom w:val="single" w:sz="4" w:space="0" w:color="auto"/>
              <w:right w:val="nil"/>
            </w:tcBorders>
            <w:noWrap/>
            <w:vAlign w:val="bottom"/>
            <w:hideMark/>
          </w:tcPr>
          <w:p w14:paraId="661DEC37" w14:textId="77777777" w:rsidR="002E198C" w:rsidRPr="002E198C" w:rsidRDefault="002E198C" w:rsidP="002E198C">
            <w:pPr>
              <w:jc w:val="center"/>
              <w:rPr>
                <w:b/>
                <w:color w:val="000000"/>
                <w:sz w:val="22"/>
              </w:rPr>
            </w:pPr>
            <w:r w:rsidRPr="002E198C">
              <w:rPr>
                <w:b/>
                <w:color w:val="000000"/>
                <w:sz w:val="22"/>
              </w:rPr>
              <w:t>Year Per Company</w:t>
            </w:r>
          </w:p>
        </w:tc>
        <w:tc>
          <w:tcPr>
            <w:tcW w:w="1440" w:type="dxa"/>
            <w:tcBorders>
              <w:top w:val="nil"/>
              <w:left w:val="nil"/>
              <w:bottom w:val="single" w:sz="4" w:space="0" w:color="auto"/>
              <w:right w:val="nil"/>
            </w:tcBorders>
            <w:noWrap/>
            <w:vAlign w:val="bottom"/>
            <w:hideMark/>
          </w:tcPr>
          <w:p w14:paraId="24FBD791" w14:textId="77777777" w:rsidR="002E198C" w:rsidRPr="002E198C" w:rsidRDefault="002E198C" w:rsidP="002E198C">
            <w:pPr>
              <w:jc w:val="center"/>
              <w:rPr>
                <w:b/>
                <w:color w:val="000000"/>
                <w:sz w:val="22"/>
              </w:rPr>
            </w:pPr>
            <w:r w:rsidRPr="002E198C">
              <w:rPr>
                <w:b/>
                <w:color w:val="000000"/>
                <w:sz w:val="22"/>
              </w:rPr>
              <w:t>Adjustments</w:t>
            </w:r>
          </w:p>
        </w:tc>
        <w:tc>
          <w:tcPr>
            <w:tcW w:w="1729" w:type="dxa"/>
            <w:tcBorders>
              <w:top w:val="nil"/>
              <w:left w:val="nil"/>
              <w:bottom w:val="single" w:sz="4" w:space="0" w:color="auto"/>
              <w:right w:val="nil"/>
            </w:tcBorders>
            <w:noWrap/>
            <w:vAlign w:val="bottom"/>
            <w:hideMark/>
          </w:tcPr>
          <w:p w14:paraId="6C89AA7E" w14:textId="000BDAB1" w:rsidR="002E198C" w:rsidRPr="002E198C" w:rsidRDefault="002E198C" w:rsidP="002E198C">
            <w:pPr>
              <w:jc w:val="center"/>
              <w:rPr>
                <w:b/>
                <w:color w:val="000000"/>
                <w:sz w:val="22"/>
              </w:rPr>
            </w:pPr>
            <w:r w:rsidRPr="002E198C">
              <w:rPr>
                <w:b/>
                <w:color w:val="000000"/>
                <w:sz w:val="22"/>
              </w:rPr>
              <w:t xml:space="preserve">Year Per </w:t>
            </w:r>
            <w:r w:rsidR="005E72C9">
              <w:rPr>
                <w:b/>
                <w:color w:val="000000"/>
                <w:sz w:val="22"/>
              </w:rPr>
              <w:t>PSC</w:t>
            </w:r>
          </w:p>
        </w:tc>
        <w:tc>
          <w:tcPr>
            <w:tcW w:w="300" w:type="dxa"/>
            <w:tcBorders>
              <w:top w:val="nil"/>
              <w:left w:val="nil"/>
              <w:bottom w:val="single" w:sz="4" w:space="0" w:color="auto"/>
              <w:right w:val="single" w:sz="4" w:space="0" w:color="auto"/>
            </w:tcBorders>
            <w:noWrap/>
            <w:vAlign w:val="bottom"/>
            <w:hideMark/>
          </w:tcPr>
          <w:p w14:paraId="785E9549"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575D7F9A" w14:textId="77777777" w:rsidTr="00E2006B">
        <w:trPr>
          <w:trHeight w:val="300"/>
        </w:trPr>
        <w:tc>
          <w:tcPr>
            <w:tcW w:w="266" w:type="dxa"/>
            <w:tcBorders>
              <w:top w:val="nil"/>
              <w:left w:val="single" w:sz="4" w:space="0" w:color="auto"/>
              <w:bottom w:val="nil"/>
              <w:right w:val="nil"/>
            </w:tcBorders>
            <w:noWrap/>
            <w:vAlign w:val="bottom"/>
          </w:tcPr>
          <w:p w14:paraId="02D2AB8B" w14:textId="77777777" w:rsidR="002E198C" w:rsidRPr="002E198C" w:rsidRDefault="002E198C" w:rsidP="002E198C">
            <w:pPr>
              <w:rPr>
                <w:rFonts w:ascii="Calibri" w:hAnsi="Calibri"/>
                <w:color w:val="000000"/>
                <w:sz w:val="22"/>
              </w:rPr>
            </w:pPr>
          </w:p>
        </w:tc>
        <w:tc>
          <w:tcPr>
            <w:tcW w:w="3204" w:type="dxa"/>
            <w:noWrap/>
            <w:vAlign w:val="bottom"/>
          </w:tcPr>
          <w:p w14:paraId="670BA180" w14:textId="77777777" w:rsidR="002E198C" w:rsidRPr="002E198C" w:rsidRDefault="002E198C" w:rsidP="002E198C">
            <w:pPr>
              <w:rPr>
                <w:color w:val="000000"/>
                <w:sz w:val="22"/>
                <w:szCs w:val="22"/>
                <w:u w:val="single"/>
              </w:rPr>
            </w:pPr>
            <w:r w:rsidRPr="002E198C">
              <w:rPr>
                <w:color w:val="000000"/>
                <w:sz w:val="22"/>
                <w:szCs w:val="22"/>
                <w:u w:val="single"/>
              </w:rPr>
              <w:t>Rate Base</w:t>
            </w:r>
          </w:p>
        </w:tc>
        <w:tc>
          <w:tcPr>
            <w:tcW w:w="2070" w:type="dxa"/>
            <w:noWrap/>
            <w:vAlign w:val="bottom"/>
          </w:tcPr>
          <w:p w14:paraId="443F9992" w14:textId="77777777" w:rsidR="002E198C" w:rsidRPr="002E198C" w:rsidRDefault="002E198C" w:rsidP="002E198C">
            <w:pPr>
              <w:rPr>
                <w:color w:val="000000"/>
                <w:sz w:val="22"/>
                <w:szCs w:val="22"/>
              </w:rPr>
            </w:pPr>
            <w:r w:rsidRPr="002E198C">
              <w:rPr>
                <w:color w:val="000000"/>
                <w:sz w:val="22"/>
                <w:szCs w:val="22"/>
              </w:rPr>
              <w:t> </w:t>
            </w:r>
          </w:p>
        </w:tc>
        <w:tc>
          <w:tcPr>
            <w:tcW w:w="1440" w:type="dxa"/>
            <w:noWrap/>
            <w:vAlign w:val="bottom"/>
          </w:tcPr>
          <w:p w14:paraId="56F3605C" w14:textId="77777777" w:rsidR="002E198C" w:rsidRPr="002E198C" w:rsidRDefault="002E198C" w:rsidP="002E198C">
            <w:pPr>
              <w:rPr>
                <w:color w:val="000000"/>
                <w:sz w:val="22"/>
                <w:szCs w:val="22"/>
              </w:rPr>
            </w:pPr>
            <w:r w:rsidRPr="002E198C">
              <w:rPr>
                <w:color w:val="000000"/>
                <w:sz w:val="22"/>
                <w:szCs w:val="22"/>
              </w:rPr>
              <w:t> </w:t>
            </w:r>
          </w:p>
        </w:tc>
        <w:tc>
          <w:tcPr>
            <w:tcW w:w="1729" w:type="dxa"/>
            <w:noWrap/>
            <w:vAlign w:val="bottom"/>
          </w:tcPr>
          <w:p w14:paraId="51C49FF5" w14:textId="77777777" w:rsidR="002E198C" w:rsidRPr="002E198C" w:rsidRDefault="002E198C" w:rsidP="002E198C">
            <w:pPr>
              <w:rPr>
                <w:color w:val="000000"/>
                <w:sz w:val="22"/>
                <w:szCs w:val="22"/>
              </w:rPr>
            </w:pPr>
            <w:r w:rsidRPr="002E198C">
              <w:rPr>
                <w:color w:val="000000"/>
                <w:sz w:val="22"/>
                <w:szCs w:val="22"/>
              </w:rPr>
              <w:t> </w:t>
            </w:r>
          </w:p>
        </w:tc>
        <w:tc>
          <w:tcPr>
            <w:tcW w:w="300" w:type="dxa"/>
            <w:tcBorders>
              <w:top w:val="nil"/>
              <w:left w:val="nil"/>
              <w:bottom w:val="nil"/>
              <w:right w:val="single" w:sz="4" w:space="0" w:color="auto"/>
            </w:tcBorders>
            <w:noWrap/>
            <w:vAlign w:val="bottom"/>
          </w:tcPr>
          <w:p w14:paraId="7F39617A" w14:textId="77777777" w:rsidR="002E198C" w:rsidRPr="002E198C" w:rsidRDefault="002E198C" w:rsidP="002E198C">
            <w:pPr>
              <w:rPr>
                <w:rFonts w:ascii="Calibri" w:hAnsi="Calibri"/>
                <w:color w:val="000000"/>
                <w:sz w:val="22"/>
              </w:rPr>
            </w:pPr>
          </w:p>
        </w:tc>
      </w:tr>
      <w:tr w:rsidR="002E198C" w:rsidRPr="002E198C" w14:paraId="6FFA1E78" w14:textId="77777777" w:rsidTr="00E2006B">
        <w:trPr>
          <w:trHeight w:val="300"/>
        </w:trPr>
        <w:tc>
          <w:tcPr>
            <w:tcW w:w="266" w:type="dxa"/>
            <w:tcBorders>
              <w:top w:val="nil"/>
              <w:left w:val="single" w:sz="4" w:space="0" w:color="auto"/>
              <w:bottom w:val="nil"/>
              <w:right w:val="nil"/>
            </w:tcBorders>
            <w:noWrap/>
            <w:vAlign w:val="bottom"/>
          </w:tcPr>
          <w:p w14:paraId="38F52192" w14:textId="77777777" w:rsidR="002E198C" w:rsidRPr="002E198C" w:rsidRDefault="002E198C" w:rsidP="002E198C">
            <w:pPr>
              <w:rPr>
                <w:rFonts w:ascii="Calibri" w:hAnsi="Calibri"/>
                <w:color w:val="000000"/>
                <w:sz w:val="22"/>
              </w:rPr>
            </w:pPr>
          </w:p>
        </w:tc>
        <w:tc>
          <w:tcPr>
            <w:tcW w:w="3204" w:type="dxa"/>
            <w:noWrap/>
            <w:vAlign w:val="bottom"/>
          </w:tcPr>
          <w:p w14:paraId="2F15A3B9" w14:textId="77777777" w:rsidR="002E198C" w:rsidRPr="002E198C" w:rsidRDefault="002E198C" w:rsidP="002E198C">
            <w:pPr>
              <w:rPr>
                <w:color w:val="000000"/>
                <w:sz w:val="22"/>
                <w:szCs w:val="22"/>
              </w:rPr>
            </w:pPr>
            <w:r w:rsidRPr="002E198C">
              <w:rPr>
                <w:color w:val="000000"/>
                <w:sz w:val="22"/>
                <w:szCs w:val="22"/>
              </w:rPr>
              <w:t>Plant in Service</w:t>
            </w:r>
          </w:p>
        </w:tc>
        <w:tc>
          <w:tcPr>
            <w:tcW w:w="2070" w:type="dxa"/>
            <w:noWrap/>
            <w:vAlign w:val="bottom"/>
          </w:tcPr>
          <w:p w14:paraId="6C36C732" w14:textId="77777777" w:rsidR="002E198C" w:rsidRPr="002E198C" w:rsidRDefault="002E198C" w:rsidP="002E198C">
            <w:pPr>
              <w:jc w:val="right"/>
              <w:rPr>
                <w:color w:val="000000"/>
                <w:sz w:val="22"/>
                <w:szCs w:val="22"/>
              </w:rPr>
            </w:pPr>
            <w:r w:rsidRPr="002E198C">
              <w:rPr>
                <w:color w:val="000000"/>
                <w:sz w:val="22"/>
                <w:szCs w:val="22"/>
              </w:rPr>
              <w:t>$687,104,836</w:t>
            </w:r>
          </w:p>
        </w:tc>
        <w:tc>
          <w:tcPr>
            <w:tcW w:w="1440" w:type="dxa"/>
            <w:noWrap/>
            <w:vAlign w:val="bottom"/>
          </w:tcPr>
          <w:p w14:paraId="0C84C4F3" w14:textId="77777777" w:rsidR="002E198C" w:rsidRPr="002E198C" w:rsidRDefault="002E198C" w:rsidP="002E198C">
            <w:pPr>
              <w:jc w:val="right"/>
              <w:rPr>
                <w:color w:val="000000"/>
                <w:sz w:val="22"/>
                <w:szCs w:val="22"/>
              </w:rPr>
            </w:pPr>
            <w:r w:rsidRPr="002E198C">
              <w:rPr>
                <w:color w:val="000000"/>
                <w:sz w:val="22"/>
                <w:szCs w:val="22"/>
              </w:rPr>
              <w:t>-</w:t>
            </w:r>
          </w:p>
        </w:tc>
        <w:tc>
          <w:tcPr>
            <w:tcW w:w="1729" w:type="dxa"/>
            <w:noWrap/>
            <w:vAlign w:val="bottom"/>
          </w:tcPr>
          <w:p w14:paraId="5C845473" w14:textId="77777777" w:rsidR="002E198C" w:rsidRPr="002E198C" w:rsidRDefault="002E198C" w:rsidP="002E198C">
            <w:pPr>
              <w:jc w:val="right"/>
              <w:rPr>
                <w:color w:val="000000"/>
                <w:sz w:val="22"/>
                <w:szCs w:val="22"/>
              </w:rPr>
            </w:pPr>
            <w:r w:rsidRPr="002E198C">
              <w:rPr>
                <w:color w:val="000000"/>
                <w:sz w:val="22"/>
                <w:szCs w:val="22"/>
              </w:rPr>
              <w:t xml:space="preserve">$687,104,836 </w:t>
            </w:r>
          </w:p>
        </w:tc>
        <w:tc>
          <w:tcPr>
            <w:tcW w:w="300" w:type="dxa"/>
            <w:tcBorders>
              <w:top w:val="nil"/>
              <w:left w:val="nil"/>
              <w:bottom w:val="nil"/>
              <w:right w:val="single" w:sz="4" w:space="0" w:color="auto"/>
            </w:tcBorders>
            <w:noWrap/>
            <w:vAlign w:val="bottom"/>
          </w:tcPr>
          <w:p w14:paraId="5BA8A621" w14:textId="77777777" w:rsidR="002E198C" w:rsidRPr="002E198C" w:rsidRDefault="002E198C" w:rsidP="002E198C">
            <w:pPr>
              <w:rPr>
                <w:rFonts w:ascii="Calibri" w:hAnsi="Calibri"/>
                <w:color w:val="000000"/>
                <w:sz w:val="22"/>
              </w:rPr>
            </w:pPr>
          </w:p>
        </w:tc>
      </w:tr>
      <w:tr w:rsidR="002E198C" w:rsidRPr="002E198C" w14:paraId="317F02EC" w14:textId="77777777" w:rsidTr="00E2006B">
        <w:trPr>
          <w:trHeight w:val="300"/>
        </w:trPr>
        <w:tc>
          <w:tcPr>
            <w:tcW w:w="266" w:type="dxa"/>
            <w:tcBorders>
              <w:top w:val="nil"/>
              <w:left w:val="single" w:sz="4" w:space="0" w:color="auto"/>
              <w:bottom w:val="nil"/>
              <w:right w:val="nil"/>
            </w:tcBorders>
            <w:noWrap/>
            <w:vAlign w:val="bottom"/>
          </w:tcPr>
          <w:p w14:paraId="696FE3AB" w14:textId="77777777" w:rsidR="002E198C" w:rsidRPr="002E198C" w:rsidRDefault="002E198C" w:rsidP="002E198C">
            <w:pPr>
              <w:rPr>
                <w:rFonts w:ascii="Calibri" w:hAnsi="Calibri"/>
                <w:color w:val="000000"/>
                <w:sz w:val="22"/>
              </w:rPr>
            </w:pPr>
          </w:p>
        </w:tc>
        <w:tc>
          <w:tcPr>
            <w:tcW w:w="3204" w:type="dxa"/>
            <w:noWrap/>
            <w:vAlign w:val="bottom"/>
          </w:tcPr>
          <w:p w14:paraId="047DFD8D" w14:textId="77777777" w:rsidR="002E198C" w:rsidRPr="002E198C" w:rsidRDefault="002E198C" w:rsidP="002E198C">
            <w:pPr>
              <w:rPr>
                <w:color w:val="000000"/>
                <w:sz w:val="22"/>
                <w:szCs w:val="22"/>
              </w:rPr>
            </w:pPr>
            <w:r w:rsidRPr="002E198C">
              <w:rPr>
                <w:color w:val="000000"/>
                <w:sz w:val="22"/>
                <w:szCs w:val="22"/>
              </w:rPr>
              <w:t>Common Plant Allocated</w:t>
            </w:r>
          </w:p>
        </w:tc>
        <w:tc>
          <w:tcPr>
            <w:tcW w:w="2070" w:type="dxa"/>
            <w:noWrap/>
            <w:vAlign w:val="bottom"/>
          </w:tcPr>
          <w:p w14:paraId="7074C94F" w14:textId="77777777" w:rsidR="002E198C" w:rsidRPr="002E198C" w:rsidRDefault="002E198C" w:rsidP="002E198C">
            <w:pPr>
              <w:jc w:val="right"/>
              <w:rPr>
                <w:color w:val="000000"/>
                <w:sz w:val="22"/>
                <w:szCs w:val="22"/>
              </w:rPr>
            </w:pPr>
            <w:r w:rsidRPr="002E198C">
              <w:rPr>
                <w:color w:val="000000"/>
                <w:sz w:val="22"/>
                <w:szCs w:val="22"/>
              </w:rPr>
              <w:t xml:space="preserve">4,170,712 </w:t>
            </w:r>
          </w:p>
        </w:tc>
        <w:tc>
          <w:tcPr>
            <w:tcW w:w="1440" w:type="dxa"/>
            <w:noWrap/>
            <w:vAlign w:val="bottom"/>
          </w:tcPr>
          <w:p w14:paraId="4B5BD9A7" w14:textId="77777777" w:rsidR="002E198C" w:rsidRPr="002E198C" w:rsidRDefault="002E198C" w:rsidP="002E198C">
            <w:pPr>
              <w:jc w:val="right"/>
              <w:rPr>
                <w:color w:val="000000"/>
                <w:sz w:val="22"/>
                <w:szCs w:val="22"/>
              </w:rPr>
            </w:pPr>
            <w:r w:rsidRPr="002E198C">
              <w:rPr>
                <w:color w:val="000000"/>
                <w:sz w:val="22"/>
                <w:szCs w:val="22"/>
              </w:rPr>
              <w:t>-</w:t>
            </w:r>
          </w:p>
        </w:tc>
        <w:tc>
          <w:tcPr>
            <w:tcW w:w="1729" w:type="dxa"/>
            <w:noWrap/>
            <w:vAlign w:val="bottom"/>
          </w:tcPr>
          <w:p w14:paraId="1DB9C28C" w14:textId="77777777" w:rsidR="002E198C" w:rsidRPr="002E198C" w:rsidRDefault="002E198C" w:rsidP="002E198C">
            <w:pPr>
              <w:jc w:val="right"/>
              <w:rPr>
                <w:color w:val="000000"/>
                <w:sz w:val="22"/>
                <w:szCs w:val="22"/>
              </w:rPr>
            </w:pPr>
            <w:r w:rsidRPr="002E198C">
              <w:rPr>
                <w:color w:val="000000"/>
                <w:sz w:val="22"/>
                <w:szCs w:val="22"/>
              </w:rPr>
              <w:t xml:space="preserve">4,170,712 </w:t>
            </w:r>
          </w:p>
        </w:tc>
        <w:tc>
          <w:tcPr>
            <w:tcW w:w="300" w:type="dxa"/>
            <w:tcBorders>
              <w:top w:val="nil"/>
              <w:left w:val="nil"/>
              <w:bottom w:val="nil"/>
              <w:right w:val="single" w:sz="4" w:space="0" w:color="auto"/>
            </w:tcBorders>
            <w:noWrap/>
            <w:vAlign w:val="bottom"/>
          </w:tcPr>
          <w:p w14:paraId="7A693764" w14:textId="77777777" w:rsidR="002E198C" w:rsidRPr="002E198C" w:rsidRDefault="002E198C" w:rsidP="002E198C">
            <w:pPr>
              <w:rPr>
                <w:rFonts w:ascii="Calibri" w:hAnsi="Calibri"/>
                <w:color w:val="000000"/>
                <w:sz w:val="22"/>
              </w:rPr>
            </w:pPr>
          </w:p>
        </w:tc>
      </w:tr>
      <w:tr w:rsidR="002E198C" w:rsidRPr="002E198C" w14:paraId="3D628EC4" w14:textId="77777777" w:rsidTr="00E2006B">
        <w:trPr>
          <w:trHeight w:val="300"/>
        </w:trPr>
        <w:tc>
          <w:tcPr>
            <w:tcW w:w="266" w:type="dxa"/>
            <w:tcBorders>
              <w:top w:val="nil"/>
              <w:left w:val="single" w:sz="4" w:space="0" w:color="auto"/>
              <w:bottom w:val="nil"/>
              <w:right w:val="nil"/>
            </w:tcBorders>
            <w:noWrap/>
            <w:vAlign w:val="bottom"/>
          </w:tcPr>
          <w:p w14:paraId="709FDA7E" w14:textId="77777777" w:rsidR="002E198C" w:rsidRPr="002E198C" w:rsidRDefault="002E198C" w:rsidP="002E198C">
            <w:pPr>
              <w:rPr>
                <w:rFonts w:ascii="Calibri" w:hAnsi="Calibri"/>
                <w:color w:val="000000"/>
                <w:sz w:val="22"/>
              </w:rPr>
            </w:pPr>
          </w:p>
        </w:tc>
        <w:tc>
          <w:tcPr>
            <w:tcW w:w="3204" w:type="dxa"/>
            <w:noWrap/>
            <w:vAlign w:val="bottom"/>
          </w:tcPr>
          <w:p w14:paraId="3F8E0DE8" w14:textId="77777777" w:rsidR="002E198C" w:rsidRPr="002E198C" w:rsidRDefault="002E198C" w:rsidP="002E198C">
            <w:pPr>
              <w:rPr>
                <w:color w:val="000000"/>
                <w:sz w:val="22"/>
                <w:szCs w:val="22"/>
              </w:rPr>
            </w:pPr>
            <w:r w:rsidRPr="002E198C">
              <w:rPr>
                <w:color w:val="000000"/>
                <w:sz w:val="22"/>
                <w:szCs w:val="22"/>
              </w:rPr>
              <w:t>Customer Advances</w:t>
            </w:r>
          </w:p>
        </w:tc>
        <w:tc>
          <w:tcPr>
            <w:tcW w:w="2070" w:type="dxa"/>
            <w:noWrap/>
            <w:vAlign w:val="bottom"/>
          </w:tcPr>
          <w:p w14:paraId="47B85A1E" w14:textId="77777777" w:rsidR="002E198C" w:rsidRPr="002E198C" w:rsidRDefault="002E198C" w:rsidP="002E198C">
            <w:pPr>
              <w:jc w:val="right"/>
              <w:rPr>
                <w:color w:val="000000"/>
                <w:sz w:val="22"/>
                <w:szCs w:val="22"/>
              </w:rPr>
            </w:pPr>
            <w:r w:rsidRPr="002E198C">
              <w:rPr>
                <w:color w:val="000000"/>
                <w:sz w:val="22"/>
                <w:szCs w:val="22"/>
              </w:rPr>
              <w:t>-</w:t>
            </w:r>
          </w:p>
        </w:tc>
        <w:tc>
          <w:tcPr>
            <w:tcW w:w="1440" w:type="dxa"/>
            <w:noWrap/>
            <w:vAlign w:val="bottom"/>
          </w:tcPr>
          <w:p w14:paraId="06660CC4" w14:textId="77777777" w:rsidR="002E198C" w:rsidRPr="002E198C" w:rsidRDefault="002E198C" w:rsidP="002E198C">
            <w:pPr>
              <w:jc w:val="right"/>
              <w:rPr>
                <w:color w:val="000000"/>
                <w:sz w:val="22"/>
                <w:szCs w:val="22"/>
              </w:rPr>
            </w:pPr>
            <w:r w:rsidRPr="002E198C">
              <w:rPr>
                <w:color w:val="000000"/>
                <w:sz w:val="22"/>
                <w:szCs w:val="22"/>
              </w:rPr>
              <w:t>-</w:t>
            </w:r>
          </w:p>
        </w:tc>
        <w:tc>
          <w:tcPr>
            <w:tcW w:w="1729" w:type="dxa"/>
            <w:noWrap/>
            <w:vAlign w:val="bottom"/>
          </w:tcPr>
          <w:p w14:paraId="140462D8" w14:textId="77777777" w:rsidR="002E198C" w:rsidRPr="002E198C" w:rsidRDefault="002E198C" w:rsidP="002E198C">
            <w:pPr>
              <w:jc w:val="right"/>
              <w:rPr>
                <w:color w:val="000000"/>
                <w:sz w:val="22"/>
                <w:szCs w:val="22"/>
              </w:rPr>
            </w:pPr>
            <w:r w:rsidRPr="002E198C">
              <w:rPr>
                <w:color w:val="000000"/>
                <w:sz w:val="22"/>
                <w:szCs w:val="22"/>
              </w:rPr>
              <w:t>-</w:t>
            </w:r>
          </w:p>
        </w:tc>
        <w:tc>
          <w:tcPr>
            <w:tcW w:w="300" w:type="dxa"/>
            <w:tcBorders>
              <w:top w:val="nil"/>
              <w:left w:val="nil"/>
              <w:bottom w:val="nil"/>
              <w:right w:val="single" w:sz="4" w:space="0" w:color="auto"/>
            </w:tcBorders>
            <w:noWrap/>
            <w:vAlign w:val="bottom"/>
          </w:tcPr>
          <w:p w14:paraId="0750AF52" w14:textId="77777777" w:rsidR="002E198C" w:rsidRPr="002E198C" w:rsidRDefault="002E198C" w:rsidP="002E198C">
            <w:pPr>
              <w:rPr>
                <w:rFonts w:ascii="Calibri" w:hAnsi="Calibri"/>
                <w:color w:val="000000"/>
                <w:sz w:val="22"/>
              </w:rPr>
            </w:pPr>
          </w:p>
        </w:tc>
      </w:tr>
      <w:tr w:rsidR="002E198C" w:rsidRPr="002E198C" w14:paraId="76573C43" w14:textId="77777777" w:rsidTr="00E2006B">
        <w:trPr>
          <w:trHeight w:val="300"/>
        </w:trPr>
        <w:tc>
          <w:tcPr>
            <w:tcW w:w="266" w:type="dxa"/>
            <w:tcBorders>
              <w:top w:val="nil"/>
              <w:left w:val="single" w:sz="4" w:space="0" w:color="auto"/>
              <w:bottom w:val="nil"/>
              <w:right w:val="nil"/>
            </w:tcBorders>
            <w:noWrap/>
            <w:vAlign w:val="bottom"/>
          </w:tcPr>
          <w:p w14:paraId="090BD4F7" w14:textId="77777777" w:rsidR="002E198C" w:rsidRPr="002E198C" w:rsidRDefault="002E198C" w:rsidP="002E198C">
            <w:pPr>
              <w:rPr>
                <w:rFonts w:ascii="Calibri" w:hAnsi="Calibri"/>
                <w:color w:val="000000"/>
                <w:sz w:val="22"/>
              </w:rPr>
            </w:pPr>
          </w:p>
        </w:tc>
        <w:tc>
          <w:tcPr>
            <w:tcW w:w="3204" w:type="dxa"/>
            <w:noWrap/>
            <w:vAlign w:val="bottom"/>
          </w:tcPr>
          <w:p w14:paraId="25F5C074" w14:textId="77777777" w:rsidR="002E198C" w:rsidRPr="002E198C" w:rsidRDefault="002E198C" w:rsidP="002E198C">
            <w:pPr>
              <w:rPr>
                <w:color w:val="000000"/>
                <w:sz w:val="22"/>
                <w:szCs w:val="22"/>
              </w:rPr>
            </w:pPr>
            <w:r w:rsidRPr="002E198C">
              <w:rPr>
                <w:color w:val="000000"/>
                <w:sz w:val="22"/>
                <w:szCs w:val="22"/>
              </w:rPr>
              <w:t>Acquisition Adjustment</w:t>
            </w:r>
          </w:p>
        </w:tc>
        <w:tc>
          <w:tcPr>
            <w:tcW w:w="2070" w:type="dxa"/>
            <w:noWrap/>
            <w:vAlign w:val="bottom"/>
          </w:tcPr>
          <w:p w14:paraId="5FE4E8DF" w14:textId="77777777" w:rsidR="002E198C" w:rsidRPr="002E198C" w:rsidRDefault="002E198C" w:rsidP="002E198C">
            <w:pPr>
              <w:jc w:val="right"/>
              <w:rPr>
                <w:color w:val="000000"/>
                <w:sz w:val="22"/>
                <w:szCs w:val="22"/>
              </w:rPr>
            </w:pPr>
            <w:r w:rsidRPr="002E198C">
              <w:rPr>
                <w:color w:val="000000"/>
                <w:sz w:val="22"/>
                <w:szCs w:val="22"/>
              </w:rPr>
              <w:t>21,656,835</w:t>
            </w:r>
          </w:p>
        </w:tc>
        <w:tc>
          <w:tcPr>
            <w:tcW w:w="1440" w:type="dxa"/>
            <w:noWrap/>
            <w:vAlign w:val="bottom"/>
          </w:tcPr>
          <w:p w14:paraId="6BC69ED5" w14:textId="77777777" w:rsidR="002E198C" w:rsidRPr="002E198C" w:rsidRDefault="002E198C" w:rsidP="002E198C">
            <w:pPr>
              <w:jc w:val="right"/>
              <w:rPr>
                <w:color w:val="000000"/>
                <w:sz w:val="22"/>
                <w:szCs w:val="22"/>
              </w:rPr>
            </w:pPr>
            <w:r w:rsidRPr="002E198C">
              <w:rPr>
                <w:color w:val="000000"/>
                <w:sz w:val="22"/>
                <w:szCs w:val="22"/>
              </w:rPr>
              <w:t>-</w:t>
            </w:r>
          </w:p>
        </w:tc>
        <w:tc>
          <w:tcPr>
            <w:tcW w:w="1729" w:type="dxa"/>
            <w:noWrap/>
            <w:vAlign w:val="bottom"/>
          </w:tcPr>
          <w:p w14:paraId="3DC839D4" w14:textId="77777777" w:rsidR="002E198C" w:rsidRPr="002E198C" w:rsidRDefault="002E198C" w:rsidP="002E198C">
            <w:pPr>
              <w:jc w:val="right"/>
              <w:rPr>
                <w:color w:val="000000"/>
                <w:sz w:val="22"/>
                <w:szCs w:val="22"/>
              </w:rPr>
            </w:pPr>
            <w:r w:rsidRPr="002E198C">
              <w:rPr>
                <w:color w:val="000000"/>
                <w:sz w:val="22"/>
                <w:szCs w:val="22"/>
              </w:rPr>
              <w:t>21,656,835</w:t>
            </w:r>
          </w:p>
        </w:tc>
        <w:tc>
          <w:tcPr>
            <w:tcW w:w="300" w:type="dxa"/>
            <w:tcBorders>
              <w:top w:val="nil"/>
              <w:left w:val="nil"/>
              <w:bottom w:val="nil"/>
              <w:right w:val="single" w:sz="4" w:space="0" w:color="auto"/>
            </w:tcBorders>
            <w:noWrap/>
            <w:vAlign w:val="bottom"/>
          </w:tcPr>
          <w:p w14:paraId="455F5BF2" w14:textId="77777777" w:rsidR="002E198C" w:rsidRPr="002E198C" w:rsidRDefault="002E198C" w:rsidP="002E198C">
            <w:pPr>
              <w:rPr>
                <w:rFonts w:ascii="Calibri" w:hAnsi="Calibri"/>
                <w:color w:val="000000"/>
                <w:sz w:val="22"/>
              </w:rPr>
            </w:pPr>
          </w:p>
        </w:tc>
      </w:tr>
      <w:tr w:rsidR="002E198C" w:rsidRPr="002E198C" w14:paraId="39797E4D" w14:textId="77777777" w:rsidTr="00E2006B">
        <w:trPr>
          <w:trHeight w:val="300"/>
        </w:trPr>
        <w:tc>
          <w:tcPr>
            <w:tcW w:w="266" w:type="dxa"/>
            <w:tcBorders>
              <w:top w:val="nil"/>
              <w:left w:val="single" w:sz="4" w:space="0" w:color="auto"/>
              <w:bottom w:val="nil"/>
              <w:right w:val="nil"/>
            </w:tcBorders>
            <w:noWrap/>
            <w:vAlign w:val="bottom"/>
          </w:tcPr>
          <w:p w14:paraId="0BAFBF05" w14:textId="77777777" w:rsidR="002E198C" w:rsidRPr="002E198C" w:rsidRDefault="002E198C" w:rsidP="002E198C">
            <w:pPr>
              <w:rPr>
                <w:rFonts w:ascii="Calibri" w:hAnsi="Calibri"/>
                <w:color w:val="000000"/>
                <w:sz w:val="22"/>
              </w:rPr>
            </w:pPr>
          </w:p>
        </w:tc>
        <w:tc>
          <w:tcPr>
            <w:tcW w:w="3204" w:type="dxa"/>
            <w:noWrap/>
            <w:vAlign w:val="bottom"/>
          </w:tcPr>
          <w:p w14:paraId="703FCCD9" w14:textId="77777777" w:rsidR="002E198C" w:rsidRPr="002E198C" w:rsidRDefault="002E198C" w:rsidP="002E198C">
            <w:pPr>
              <w:rPr>
                <w:color w:val="000000"/>
                <w:sz w:val="22"/>
                <w:szCs w:val="22"/>
              </w:rPr>
            </w:pPr>
            <w:r w:rsidRPr="002E198C">
              <w:rPr>
                <w:color w:val="000000"/>
                <w:sz w:val="22"/>
                <w:szCs w:val="22"/>
              </w:rPr>
              <w:t>Accumulated Depreciation</w:t>
            </w:r>
          </w:p>
        </w:tc>
        <w:tc>
          <w:tcPr>
            <w:tcW w:w="2070" w:type="dxa"/>
            <w:tcBorders>
              <w:bottom w:val="single" w:sz="4" w:space="0" w:color="auto"/>
            </w:tcBorders>
            <w:noWrap/>
            <w:vAlign w:val="bottom"/>
          </w:tcPr>
          <w:p w14:paraId="5AA29D36" w14:textId="77777777" w:rsidR="002E198C" w:rsidRPr="002E198C" w:rsidRDefault="002E198C" w:rsidP="002E198C">
            <w:pPr>
              <w:jc w:val="right"/>
              <w:rPr>
                <w:color w:val="000000"/>
                <w:sz w:val="22"/>
                <w:szCs w:val="22"/>
              </w:rPr>
            </w:pPr>
            <w:r w:rsidRPr="002E198C">
              <w:rPr>
                <w:color w:val="000000"/>
                <w:sz w:val="22"/>
                <w:szCs w:val="22"/>
              </w:rPr>
              <w:t>(218,834,606)</w:t>
            </w:r>
          </w:p>
        </w:tc>
        <w:tc>
          <w:tcPr>
            <w:tcW w:w="1440" w:type="dxa"/>
            <w:tcBorders>
              <w:bottom w:val="single" w:sz="4" w:space="0" w:color="auto"/>
            </w:tcBorders>
            <w:noWrap/>
            <w:vAlign w:val="bottom"/>
          </w:tcPr>
          <w:p w14:paraId="2B760E8A" w14:textId="77777777" w:rsidR="002E198C" w:rsidRPr="002E198C" w:rsidRDefault="002E198C" w:rsidP="002E198C">
            <w:pPr>
              <w:jc w:val="right"/>
              <w:rPr>
                <w:color w:val="000000"/>
                <w:sz w:val="22"/>
                <w:szCs w:val="22"/>
              </w:rPr>
            </w:pPr>
            <w:r w:rsidRPr="002E198C">
              <w:rPr>
                <w:color w:val="000000"/>
                <w:sz w:val="22"/>
                <w:szCs w:val="22"/>
              </w:rPr>
              <w:t> -</w:t>
            </w:r>
          </w:p>
        </w:tc>
        <w:tc>
          <w:tcPr>
            <w:tcW w:w="1729" w:type="dxa"/>
            <w:tcBorders>
              <w:bottom w:val="single" w:sz="4" w:space="0" w:color="auto"/>
            </w:tcBorders>
            <w:noWrap/>
            <w:vAlign w:val="bottom"/>
          </w:tcPr>
          <w:p w14:paraId="6B188984" w14:textId="77777777" w:rsidR="002E198C" w:rsidRPr="002E198C" w:rsidRDefault="002E198C" w:rsidP="002E198C">
            <w:pPr>
              <w:jc w:val="right"/>
              <w:rPr>
                <w:color w:val="000000"/>
                <w:sz w:val="22"/>
                <w:szCs w:val="22"/>
              </w:rPr>
            </w:pPr>
            <w:r w:rsidRPr="002E198C">
              <w:rPr>
                <w:color w:val="000000"/>
                <w:sz w:val="22"/>
                <w:szCs w:val="22"/>
              </w:rPr>
              <w:t>(218,834,606)</w:t>
            </w:r>
          </w:p>
        </w:tc>
        <w:tc>
          <w:tcPr>
            <w:tcW w:w="300" w:type="dxa"/>
            <w:tcBorders>
              <w:top w:val="nil"/>
              <w:left w:val="nil"/>
              <w:bottom w:val="nil"/>
              <w:right w:val="single" w:sz="4" w:space="0" w:color="auto"/>
            </w:tcBorders>
            <w:noWrap/>
            <w:vAlign w:val="bottom"/>
          </w:tcPr>
          <w:p w14:paraId="27606E70" w14:textId="77777777" w:rsidR="002E198C" w:rsidRPr="002E198C" w:rsidRDefault="002E198C" w:rsidP="002E198C">
            <w:pPr>
              <w:rPr>
                <w:rFonts w:ascii="Calibri" w:hAnsi="Calibri"/>
                <w:color w:val="000000"/>
                <w:sz w:val="22"/>
              </w:rPr>
            </w:pPr>
          </w:p>
        </w:tc>
      </w:tr>
      <w:tr w:rsidR="002E198C" w:rsidRPr="002E198C" w14:paraId="48535849" w14:textId="77777777" w:rsidTr="00E2006B">
        <w:trPr>
          <w:trHeight w:val="300"/>
        </w:trPr>
        <w:tc>
          <w:tcPr>
            <w:tcW w:w="266" w:type="dxa"/>
            <w:tcBorders>
              <w:top w:val="nil"/>
              <w:left w:val="single" w:sz="4" w:space="0" w:color="auto"/>
              <w:bottom w:val="nil"/>
              <w:right w:val="nil"/>
            </w:tcBorders>
            <w:noWrap/>
            <w:vAlign w:val="bottom"/>
          </w:tcPr>
          <w:p w14:paraId="04EF31FC" w14:textId="77777777" w:rsidR="002E198C" w:rsidRPr="002E198C" w:rsidRDefault="002E198C" w:rsidP="002E198C">
            <w:pPr>
              <w:rPr>
                <w:rFonts w:ascii="Calibri" w:hAnsi="Calibri"/>
                <w:color w:val="000000"/>
                <w:sz w:val="22"/>
              </w:rPr>
            </w:pPr>
          </w:p>
        </w:tc>
        <w:tc>
          <w:tcPr>
            <w:tcW w:w="3204" w:type="dxa"/>
            <w:noWrap/>
            <w:vAlign w:val="bottom"/>
          </w:tcPr>
          <w:p w14:paraId="675D3423" w14:textId="77777777" w:rsidR="002E198C" w:rsidRPr="002E198C" w:rsidRDefault="002E198C" w:rsidP="002E198C">
            <w:pPr>
              <w:rPr>
                <w:color w:val="000000"/>
                <w:sz w:val="22"/>
                <w:szCs w:val="22"/>
              </w:rPr>
            </w:pPr>
            <w:r w:rsidRPr="002E198C">
              <w:rPr>
                <w:color w:val="000000"/>
                <w:sz w:val="22"/>
                <w:szCs w:val="22"/>
              </w:rPr>
              <w:t>Net Plant in Service</w:t>
            </w:r>
          </w:p>
        </w:tc>
        <w:tc>
          <w:tcPr>
            <w:tcW w:w="2070" w:type="dxa"/>
            <w:tcBorders>
              <w:top w:val="single" w:sz="4" w:space="0" w:color="auto"/>
            </w:tcBorders>
            <w:noWrap/>
            <w:vAlign w:val="bottom"/>
          </w:tcPr>
          <w:p w14:paraId="7DA60744" w14:textId="77777777" w:rsidR="002E198C" w:rsidRPr="002E198C" w:rsidRDefault="002E198C" w:rsidP="002E198C">
            <w:pPr>
              <w:jc w:val="right"/>
              <w:rPr>
                <w:color w:val="000000"/>
                <w:sz w:val="22"/>
                <w:szCs w:val="22"/>
              </w:rPr>
            </w:pPr>
            <w:r w:rsidRPr="002E198C">
              <w:rPr>
                <w:color w:val="000000"/>
                <w:sz w:val="22"/>
                <w:szCs w:val="22"/>
              </w:rPr>
              <w:t xml:space="preserve">$494,097,777 </w:t>
            </w:r>
          </w:p>
        </w:tc>
        <w:tc>
          <w:tcPr>
            <w:tcW w:w="1440" w:type="dxa"/>
            <w:tcBorders>
              <w:top w:val="single" w:sz="4" w:space="0" w:color="auto"/>
            </w:tcBorders>
            <w:noWrap/>
            <w:vAlign w:val="bottom"/>
          </w:tcPr>
          <w:p w14:paraId="6571B2C3" w14:textId="77777777" w:rsidR="002E198C" w:rsidRPr="002E198C" w:rsidRDefault="002E198C" w:rsidP="002E198C">
            <w:pPr>
              <w:jc w:val="right"/>
              <w:rPr>
                <w:color w:val="000000"/>
                <w:sz w:val="22"/>
                <w:szCs w:val="22"/>
              </w:rPr>
            </w:pPr>
            <w:r w:rsidRPr="002E198C">
              <w:rPr>
                <w:color w:val="000000"/>
                <w:sz w:val="22"/>
                <w:szCs w:val="22"/>
              </w:rPr>
              <w:t>-</w:t>
            </w:r>
          </w:p>
        </w:tc>
        <w:tc>
          <w:tcPr>
            <w:tcW w:w="1729" w:type="dxa"/>
            <w:tcBorders>
              <w:top w:val="single" w:sz="4" w:space="0" w:color="auto"/>
            </w:tcBorders>
            <w:noWrap/>
            <w:vAlign w:val="bottom"/>
          </w:tcPr>
          <w:p w14:paraId="55E3D4CE" w14:textId="77777777" w:rsidR="002E198C" w:rsidRPr="002E198C" w:rsidRDefault="002E198C" w:rsidP="002E198C">
            <w:pPr>
              <w:jc w:val="right"/>
              <w:rPr>
                <w:color w:val="000000"/>
                <w:sz w:val="22"/>
                <w:szCs w:val="22"/>
              </w:rPr>
            </w:pPr>
            <w:r w:rsidRPr="002E198C">
              <w:rPr>
                <w:color w:val="000000"/>
                <w:sz w:val="22"/>
                <w:szCs w:val="22"/>
              </w:rPr>
              <w:t xml:space="preserve">$494,097,777 </w:t>
            </w:r>
          </w:p>
        </w:tc>
        <w:tc>
          <w:tcPr>
            <w:tcW w:w="300" w:type="dxa"/>
            <w:tcBorders>
              <w:top w:val="nil"/>
              <w:left w:val="nil"/>
              <w:bottom w:val="nil"/>
              <w:right w:val="single" w:sz="4" w:space="0" w:color="auto"/>
            </w:tcBorders>
            <w:noWrap/>
            <w:vAlign w:val="bottom"/>
          </w:tcPr>
          <w:p w14:paraId="2067C73E" w14:textId="77777777" w:rsidR="002E198C" w:rsidRPr="002E198C" w:rsidRDefault="002E198C" w:rsidP="002E198C">
            <w:pPr>
              <w:rPr>
                <w:rFonts w:ascii="Calibri" w:hAnsi="Calibri"/>
                <w:color w:val="000000"/>
                <w:sz w:val="22"/>
              </w:rPr>
            </w:pPr>
          </w:p>
        </w:tc>
      </w:tr>
      <w:tr w:rsidR="002E198C" w:rsidRPr="002E198C" w14:paraId="4CC9F6B8" w14:textId="77777777" w:rsidTr="00E2006B">
        <w:trPr>
          <w:trHeight w:val="300"/>
        </w:trPr>
        <w:tc>
          <w:tcPr>
            <w:tcW w:w="266" w:type="dxa"/>
            <w:tcBorders>
              <w:top w:val="nil"/>
              <w:left w:val="single" w:sz="4" w:space="0" w:color="auto"/>
              <w:bottom w:val="nil"/>
              <w:right w:val="nil"/>
            </w:tcBorders>
            <w:noWrap/>
            <w:vAlign w:val="bottom"/>
          </w:tcPr>
          <w:p w14:paraId="406EBC4A" w14:textId="77777777" w:rsidR="002E198C" w:rsidRPr="002E198C" w:rsidRDefault="002E198C" w:rsidP="002E198C">
            <w:pPr>
              <w:rPr>
                <w:rFonts w:ascii="Calibri" w:hAnsi="Calibri"/>
                <w:color w:val="000000"/>
                <w:sz w:val="22"/>
              </w:rPr>
            </w:pPr>
          </w:p>
        </w:tc>
        <w:tc>
          <w:tcPr>
            <w:tcW w:w="3204" w:type="dxa"/>
            <w:noWrap/>
            <w:vAlign w:val="bottom"/>
          </w:tcPr>
          <w:p w14:paraId="733A3F91" w14:textId="77777777" w:rsidR="002E198C" w:rsidRPr="002E198C" w:rsidRDefault="002E198C" w:rsidP="002E198C">
            <w:pPr>
              <w:rPr>
                <w:color w:val="000000"/>
                <w:sz w:val="22"/>
                <w:szCs w:val="22"/>
              </w:rPr>
            </w:pPr>
            <w:r w:rsidRPr="002E198C">
              <w:rPr>
                <w:color w:val="000000"/>
                <w:sz w:val="22"/>
                <w:szCs w:val="22"/>
              </w:rPr>
              <w:t>Construction Work In Progress</w:t>
            </w:r>
          </w:p>
        </w:tc>
        <w:tc>
          <w:tcPr>
            <w:tcW w:w="2070" w:type="dxa"/>
            <w:tcBorders>
              <w:bottom w:val="single" w:sz="4" w:space="0" w:color="auto"/>
            </w:tcBorders>
            <w:noWrap/>
            <w:vAlign w:val="bottom"/>
          </w:tcPr>
          <w:p w14:paraId="1CA591F8" w14:textId="77777777" w:rsidR="002E198C" w:rsidRPr="002E198C" w:rsidRDefault="002E198C" w:rsidP="002E198C">
            <w:pPr>
              <w:jc w:val="right"/>
              <w:rPr>
                <w:color w:val="000000"/>
                <w:sz w:val="22"/>
                <w:szCs w:val="22"/>
              </w:rPr>
            </w:pPr>
            <w:r w:rsidRPr="002E198C">
              <w:rPr>
                <w:color w:val="000000"/>
                <w:sz w:val="22"/>
                <w:szCs w:val="22"/>
              </w:rPr>
              <w:t xml:space="preserve">31,519,126 </w:t>
            </w:r>
          </w:p>
        </w:tc>
        <w:tc>
          <w:tcPr>
            <w:tcW w:w="1440" w:type="dxa"/>
            <w:tcBorders>
              <w:bottom w:val="single" w:sz="4" w:space="0" w:color="auto"/>
            </w:tcBorders>
            <w:noWrap/>
            <w:vAlign w:val="bottom"/>
          </w:tcPr>
          <w:p w14:paraId="16DD86FA" w14:textId="77777777" w:rsidR="002E198C" w:rsidRPr="002E198C" w:rsidRDefault="002E198C" w:rsidP="002E198C">
            <w:pPr>
              <w:jc w:val="right"/>
              <w:rPr>
                <w:color w:val="000000"/>
                <w:sz w:val="22"/>
                <w:szCs w:val="22"/>
              </w:rPr>
            </w:pPr>
            <w:r w:rsidRPr="002E198C">
              <w:rPr>
                <w:color w:val="000000"/>
                <w:sz w:val="22"/>
                <w:szCs w:val="22"/>
              </w:rPr>
              <w:t> -</w:t>
            </w:r>
          </w:p>
        </w:tc>
        <w:tc>
          <w:tcPr>
            <w:tcW w:w="1729" w:type="dxa"/>
            <w:tcBorders>
              <w:bottom w:val="single" w:sz="4" w:space="0" w:color="auto"/>
            </w:tcBorders>
            <w:noWrap/>
            <w:vAlign w:val="bottom"/>
          </w:tcPr>
          <w:p w14:paraId="4B8FDAEB" w14:textId="77777777" w:rsidR="002E198C" w:rsidRPr="002E198C" w:rsidRDefault="002E198C" w:rsidP="002E198C">
            <w:pPr>
              <w:jc w:val="right"/>
              <w:rPr>
                <w:color w:val="000000"/>
                <w:sz w:val="22"/>
                <w:szCs w:val="22"/>
              </w:rPr>
            </w:pPr>
            <w:r w:rsidRPr="002E198C">
              <w:rPr>
                <w:color w:val="000000"/>
                <w:sz w:val="22"/>
                <w:szCs w:val="22"/>
              </w:rPr>
              <w:t xml:space="preserve">31,519,126 </w:t>
            </w:r>
          </w:p>
        </w:tc>
        <w:tc>
          <w:tcPr>
            <w:tcW w:w="300" w:type="dxa"/>
            <w:tcBorders>
              <w:top w:val="nil"/>
              <w:left w:val="nil"/>
              <w:bottom w:val="nil"/>
              <w:right w:val="single" w:sz="4" w:space="0" w:color="auto"/>
            </w:tcBorders>
            <w:noWrap/>
            <w:vAlign w:val="bottom"/>
          </w:tcPr>
          <w:p w14:paraId="68CE48C1" w14:textId="77777777" w:rsidR="002E198C" w:rsidRPr="002E198C" w:rsidRDefault="002E198C" w:rsidP="002E198C">
            <w:pPr>
              <w:rPr>
                <w:rFonts w:ascii="Calibri" w:hAnsi="Calibri"/>
                <w:color w:val="000000"/>
                <w:sz w:val="22"/>
              </w:rPr>
            </w:pPr>
          </w:p>
        </w:tc>
      </w:tr>
      <w:tr w:rsidR="002E198C" w:rsidRPr="002E198C" w14:paraId="605AB529" w14:textId="77777777" w:rsidTr="00E2006B">
        <w:trPr>
          <w:trHeight w:val="300"/>
        </w:trPr>
        <w:tc>
          <w:tcPr>
            <w:tcW w:w="266" w:type="dxa"/>
            <w:tcBorders>
              <w:top w:val="nil"/>
              <w:left w:val="single" w:sz="4" w:space="0" w:color="auto"/>
              <w:bottom w:val="nil"/>
              <w:right w:val="nil"/>
            </w:tcBorders>
            <w:noWrap/>
            <w:vAlign w:val="bottom"/>
          </w:tcPr>
          <w:p w14:paraId="7B0ACC2E" w14:textId="77777777" w:rsidR="002E198C" w:rsidRPr="002E198C" w:rsidRDefault="002E198C" w:rsidP="002E198C">
            <w:pPr>
              <w:rPr>
                <w:rFonts w:ascii="Calibri" w:hAnsi="Calibri"/>
                <w:color w:val="000000"/>
                <w:sz w:val="22"/>
              </w:rPr>
            </w:pPr>
          </w:p>
        </w:tc>
        <w:tc>
          <w:tcPr>
            <w:tcW w:w="3204" w:type="dxa"/>
            <w:noWrap/>
            <w:vAlign w:val="bottom"/>
          </w:tcPr>
          <w:p w14:paraId="6847EAA8" w14:textId="77777777" w:rsidR="002E198C" w:rsidRPr="002E198C" w:rsidRDefault="002E198C" w:rsidP="002E198C">
            <w:pPr>
              <w:rPr>
                <w:color w:val="000000"/>
                <w:sz w:val="22"/>
                <w:szCs w:val="22"/>
              </w:rPr>
            </w:pPr>
            <w:r w:rsidRPr="002E198C">
              <w:rPr>
                <w:color w:val="000000"/>
                <w:sz w:val="22"/>
                <w:szCs w:val="22"/>
              </w:rPr>
              <w:t>Net Utility Plant</w:t>
            </w:r>
          </w:p>
        </w:tc>
        <w:tc>
          <w:tcPr>
            <w:tcW w:w="2070" w:type="dxa"/>
            <w:tcBorders>
              <w:top w:val="single" w:sz="4" w:space="0" w:color="auto"/>
            </w:tcBorders>
            <w:noWrap/>
            <w:vAlign w:val="bottom"/>
          </w:tcPr>
          <w:p w14:paraId="2A02293E" w14:textId="77777777" w:rsidR="002E198C" w:rsidRPr="002E198C" w:rsidRDefault="002E198C" w:rsidP="002E198C">
            <w:pPr>
              <w:jc w:val="right"/>
              <w:rPr>
                <w:color w:val="000000"/>
                <w:sz w:val="22"/>
                <w:szCs w:val="22"/>
              </w:rPr>
            </w:pPr>
            <w:r w:rsidRPr="002E198C">
              <w:rPr>
                <w:color w:val="000000"/>
                <w:sz w:val="22"/>
                <w:szCs w:val="22"/>
              </w:rPr>
              <w:t xml:space="preserve">$525,616,903 </w:t>
            </w:r>
          </w:p>
        </w:tc>
        <w:tc>
          <w:tcPr>
            <w:tcW w:w="1440" w:type="dxa"/>
            <w:tcBorders>
              <w:top w:val="single" w:sz="4" w:space="0" w:color="auto"/>
            </w:tcBorders>
            <w:noWrap/>
            <w:vAlign w:val="bottom"/>
          </w:tcPr>
          <w:p w14:paraId="2FF4ECD1" w14:textId="77777777" w:rsidR="002E198C" w:rsidRPr="002E198C" w:rsidRDefault="002E198C" w:rsidP="002E198C">
            <w:pPr>
              <w:jc w:val="right"/>
              <w:rPr>
                <w:color w:val="000000"/>
                <w:sz w:val="22"/>
                <w:szCs w:val="22"/>
              </w:rPr>
            </w:pPr>
            <w:r w:rsidRPr="002E198C">
              <w:rPr>
                <w:color w:val="000000"/>
                <w:sz w:val="22"/>
                <w:szCs w:val="22"/>
              </w:rPr>
              <w:t>-</w:t>
            </w:r>
          </w:p>
        </w:tc>
        <w:tc>
          <w:tcPr>
            <w:tcW w:w="1729" w:type="dxa"/>
            <w:tcBorders>
              <w:top w:val="single" w:sz="4" w:space="0" w:color="auto"/>
            </w:tcBorders>
            <w:noWrap/>
            <w:vAlign w:val="bottom"/>
          </w:tcPr>
          <w:p w14:paraId="622DD7BA" w14:textId="77777777" w:rsidR="002E198C" w:rsidRPr="002E198C" w:rsidRDefault="002E198C" w:rsidP="002E198C">
            <w:pPr>
              <w:jc w:val="right"/>
              <w:rPr>
                <w:color w:val="000000"/>
                <w:sz w:val="22"/>
                <w:szCs w:val="22"/>
              </w:rPr>
            </w:pPr>
            <w:r w:rsidRPr="002E198C">
              <w:rPr>
                <w:color w:val="000000"/>
                <w:sz w:val="22"/>
                <w:szCs w:val="22"/>
              </w:rPr>
              <w:t xml:space="preserve">$525,616,903 </w:t>
            </w:r>
          </w:p>
        </w:tc>
        <w:tc>
          <w:tcPr>
            <w:tcW w:w="300" w:type="dxa"/>
            <w:tcBorders>
              <w:top w:val="nil"/>
              <w:left w:val="nil"/>
              <w:bottom w:val="nil"/>
              <w:right w:val="single" w:sz="4" w:space="0" w:color="auto"/>
            </w:tcBorders>
            <w:noWrap/>
            <w:vAlign w:val="bottom"/>
          </w:tcPr>
          <w:p w14:paraId="13B9F78E" w14:textId="77777777" w:rsidR="002E198C" w:rsidRPr="002E198C" w:rsidRDefault="002E198C" w:rsidP="002E198C">
            <w:pPr>
              <w:rPr>
                <w:rFonts w:ascii="Calibri" w:hAnsi="Calibri"/>
                <w:color w:val="000000"/>
                <w:sz w:val="22"/>
              </w:rPr>
            </w:pPr>
          </w:p>
        </w:tc>
      </w:tr>
      <w:tr w:rsidR="002E198C" w:rsidRPr="002E198C" w14:paraId="52D3F1A4" w14:textId="77777777" w:rsidTr="00E2006B">
        <w:trPr>
          <w:trHeight w:val="300"/>
        </w:trPr>
        <w:tc>
          <w:tcPr>
            <w:tcW w:w="266" w:type="dxa"/>
            <w:tcBorders>
              <w:top w:val="nil"/>
              <w:left w:val="single" w:sz="4" w:space="0" w:color="auto"/>
              <w:bottom w:val="nil"/>
              <w:right w:val="nil"/>
            </w:tcBorders>
            <w:noWrap/>
            <w:vAlign w:val="bottom"/>
          </w:tcPr>
          <w:p w14:paraId="12E4D70A" w14:textId="77777777" w:rsidR="002E198C" w:rsidRPr="002E198C" w:rsidRDefault="002E198C" w:rsidP="002E198C">
            <w:pPr>
              <w:rPr>
                <w:rFonts w:ascii="Calibri" w:hAnsi="Calibri"/>
                <w:color w:val="000000"/>
                <w:sz w:val="22"/>
              </w:rPr>
            </w:pPr>
          </w:p>
        </w:tc>
        <w:tc>
          <w:tcPr>
            <w:tcW w:w="3204" w:type="dxa"/>
            <w:noWrap/>
            <w:vAlign w:val="bottom"/>
          </w:tcPr>
          <w:p w14:paraId="701A58BF" w14:textId="77777777" w:rsidR="002E198C" w:rsidRPr="002E198C" w:rsidRDefault="002E198C" w:rsidP="002E198C">
            <w:pPr>
              <w:rPr>
                <w:color w:val="000000"/>
                <w:sz w:val="22"/>
                <w:szCs w:val="22"/>
              </w:rPr>
            </w:pPr>
            <w:r w:rsidRPr="002E198C">
              <w:rPr>
                <w:color w:val="000000"/>
                <w:sz w:val="22"/>
                <w:szCs w:val="22"/>
              </w:rPr>
              <w:t>Working Capital Allowance</w:t>
            </w:r>
          </w:p>
        </w:tc>
        <w:tc>
          <w:tcPr>
            <w:tcW w:w="2070" w:type="dxa"/>
            <w:tcBorders>
              <w:bottom w:val="single" w:sz="4" w:space="0" w:color="auto"/>
            </w:tcBorders>
            <w:noWrap/>
            <w:vAlign w:val="bottom"/>
          </w:tcPr>
          <w:p w14:paraId="3DCB877B" w14:textId="77777777" w:rsidR="002E198C" w:rsidRPr="002E198C" w:rsidRDefault="002E198C" w:rsidP="002E198C">
            <w:pPr>
              <w:jc w:val="right"/>
              <w:rPr>
                <w:color w:val="000000"/>
                <w:sz w:val="22"/>
                <w:szCs w:val="22"/>
              </w:rPr>
            </w:pPr>
            <w:r w:rsidRPr="002E198C">
              <w:rPr>
                <w:color w:val="000000"/>
                <w:sz w:val="22"/>
                <w:szCs w:val="22"/>
              </w:rPr>
              <w:t xml:space="preserve">26,196,785 </w:t>
            </w:r>
          </w:p>
        </w:tc>
        <w:tc>
          <w:tcPr>
            <w:tcW w:w="1440" w:type="dxa"/>
            <w:tcBorders>
              <w:bottom w:val="single" w:sz="4" w:space="0" w:color="auto"/>
            </w:tcBorders>
            <w:noWrap/>
            <w:vAlign w:val="bottom"/>
          </w:tcPr>
          <w:p w14:paraId="44194955" w14:textId="77777777" w:rsidR="002E198C" w:rsidRPr="002E198C" w:rsidRDefault="002E198C" w:rsidP="002E198C">
            <w:pPr>
              <w:jc w:val="right"/>
              <w:rPr>
                <w:color w:val="000000"/>
                <w:sz w:val="22"/>
                <w:szCs w:val="22"/>
              </w:rPr>
            </w:pPr>
            <w:r w:rsidRPr="002E198C">
              <w:rPr>
                <w:color w:val="000000"/>
                <w:sz w:val="22"/>
                <w:szCs w:val="22"/>
              </w:rPr>
              <w:t> -</w:t>
            </w:r>
          </w:p>
        </w:tc>
        <w:tc>
          <w:tcPr>
            <w:tcW w:w="1729" w:type="dxa"/>
            <w:tcBorders>
              <w:bottom w:val="single" w:sz="4" w:space="0" w:color="auto"/>
            </w:tcBorders>
            <w:noWrap/>
            <w:vAlign w:val="bottom"/>
          </w:tcPr>
          <w:p w14:paraId="191F1EF1" w14:textId="77777777" w:rsidR="002E198C" w:rsidRPr="002E198C" w:rsidRDefault="002E198C" w:rsidP="002E198C">
            <w:pPr>
              <w:jc w:val="right"/>
              <w:rPr>
                <w:color w:val="000000"/>
                <w:sz w:val="22"/>
                <w:szCs w:val="22"/>
              </w:rPr>
            </w:pPr>
            <w:r w:rsidRPr="002E198C">
              <w:rPr>
                <w:color w:val="000000"/>
                <w:sz w:val="22"/>
                <w:szCs w:val="22"/>
              </w:rPr>
              <w:t xml:space="preserve">26,196,785 </w:t>
            </w:r>
          </w:p>
        </w:tc>
        <w:tc>
          <w:tcPr>
            <w:tcW w:w="300" w:type="dxa"/>
            <w:tcBorders>
              <w:top w:val="nil"/>
              <w:left w:val="nil"/>
              <w:bottom w:val="nil"/>
              <w:right w:val="single" w:sz="4" w:space="0" w:color="auto"/>
            </w:tcBorders>
            <w:noWrap/>
            <w:vAlign w:val="bottom"/>
          </w:tcPr>
          <w:p w14:paraId="59F2CDF4" w14:textId="77777777" w:rsidR="002E198C" w:rsidRPr="002E198C" w:rsidRDefault="002E198C" w:rsidP="002E198C">
            <w:pPr>
              <w:rPr>
                <w:rFonts w:ascii="Calibri" w:hAnsi="Calibri"/>
                <w:color w:val="000000"/>
                <w:sz w:val="22"/>
              </w:rPr>
            </w:pPr>
          </w:p>
        </w:tc>
      </w:tr>
      <w:tr w:rsidR="002E198C" w:rsidRPr="002E198C" w14:paraId="6397761C" w14:textId="77777777" w:rsidTr="00E2006B">
        <w:trPr>
          <w:trHeight w:val="300"/>
        </w:trPr>
        <w:tc>
          <w:tcPr>
            <w:tcW w:w="266" w:type="dxa"/>
            <w:tcBorders>
              <w:top w:val="nil"/>
              <w:left w:val="single" w:sz="4" w:space="0" w:color="auto"/>
              <w:bottom w:val="nil"/>
              <w:right w:val="nil"/>
            </w:tcBorders>
            <w:noWrap/>
            <w:vAlign w:val="bottom"/>
          </w:tcPr>
          <w:p w14:paraId="27E9FEEA" w14:textId="77777777" w:rsidR="002E198C" w:rsidRPr="002E198C" w:rsidRDefault="002E198C" w:rsidP="002E198C">
            <w:pPr>
              <w:rPr>
                <w:rFonts w:ascii="Calibri" w:hAnsi="Calibri"/>
                <w:color w:val="000000"/>
                <w:sz w:val="22"/>
              </w:rPr>
            </w:pPr>
          </w:p>
        </w:tc>
        <w:tc>
          <w:tcPr>
            <w:tcW w:w="3204" w:type="dxa"/>
            <w:noWrap/>
            <w:vAlign w:val="bottom"/>
          </w:tcPr>
          <w:p w14:paraId="56E524C8" w14:textId="77777777" w:rsidR="002E198C" w:rsidRPr="002E198C" w:rsidRDefault="002E198C" w:rsidP="002E198C">
            <w:pPr>
              <w:rPr>
                <w:color w:val="000000"/>
                <w:sz w:val="22"/>
                <w:szCs w:val="22"/>
              </w:rPr>
            </w:pPr>
            <w:r w:rsidRPr="002E198C">
              <w:rPr>
                <w:color w:val="000000"/>
                <w:sz w:val="22"/>
                <w:szCs w:val="22"/>
              </w:rPr>
              <w:t>Total Rate Base</w:t>
            </w:r>
          </w:p>
        </w:tc>
        <w:tc>
          <w:tcPr>
            <w:tcW w:w="2070" w:type="dxa"/>
            <w:tcBorders>
              <w:top w:val="single" w:sz="4" w:space="0" w:color="auto"/>
              <w:bottom w:val="single" w:sz="4" w:space="0" w:color="auto"/>
            </w:tcBorders>
            <w:noWrap/>
            <w:vAlign w:val="bottom"/>
          </w:tcPr>
          <w:p w14:paraId="2FC0FB54" w14:textId="77777777" w:rsidR="002E198C" w:rsidRPr="002E198C" w:rsidRDefault="002E198C" w:rsidP="002E198C">
            <w:pPr>
              <w:jc w:val="right"/>
              <w:rPr>
                <w:color w:val="000000"/>
                <w:sz w:val="22"/>
                <w:szCs w:val="22"/>
              </w:rPr>
            </w:pPr>
            <w:r w:rsidRPr="002E198C">
              <w:rPr>
                <w:color w:val="000000"/>
                <w:sz w:val="22"/>
                <w:szCs w:val="22"/>
              </w:rPr>
              <w:t xml:space="preserve">$551,813,688 </w:t>
            </w:r>
          </w:p>
        </w:tc>
        <w:tc>
          <w:tcPr>
            <w:tcW w:w="1440" w:type="dxa"/>
            <w:tcBorders>
              <w:top w:val="single" w:sz="4" w:space="0" w:color="auto"/>
              <w:bottom w:val="single" w:sz="4" w:space="0" w:color="auto"/>
            </w:tcBorders>
            <w:noWrap/>
            <w:vAlign w:val="bottom"/>
          </w:tcPr>
          <w:p w14:paraId="197683DC" w14:textId="77777777" w:rsidR="002E198C" w:rsidRPr="002E198C" w:rsidRDefault="002E198C" w:rsidP="002E198C">
            <w:pPr>
              <w:jc w:val="right"/>
              <w:rPr>
                <w:color w:val="000000"/>
                <w:sz w:val="22"/>
                <w:szCs w:val="22"/>
              </w:rPr>
            </w:pPr>
            <w:r w:rsidRPr="002E198C">
              <w:rPr>
                <w:color w:val="000000"/>
                <w:sz w:val="22"/>
                <w:szCs w:val="22"/>
              </w:rPr>
              <w:t> -</w:t>
            </w:r>
          </w:p>
        </w:tc>
        <w:tc>
          <w:tcPr>
            <w:tcW w:w="1729" w:type="dxa"/>
            <w:tcBorders>
              <w:top w:val="single" w:sz="4" w:space="0" w:color="auto"/>
              <w:bottom w:val="single" w:sz="4" w:space="0" w:color="auto"/>
            </w:tcBorders>
            <w:noWrap/>
            <w:vAlign w:val="bottom"/>
          </w:tcPr>
          <w:p w14:paraId="72AD4731" w14:textId="77777777" w:rsidR="002E198C" w:rsidRPr="002E198C" w:rsidRDefault="002E198C" w:rsidP="002E198C">
            <w:pPr>
              <w:jc w:val="right"/>
              <w:rPr>
                <w:color w:val="000000"/>
                <w:sz w:val="22"/>
                <w:szCs w:val="22"/>
              </w:rPr>
            </w:pPr>
            <w:r w:rsidRPr="002E198C">
              <w:rPr>
                <w:color w:val="000000"/>
                <w:sz w:val="22"/>
                <w:szCs w:val="22"/>
              </w:rPr>
              <w:t xml:space="preserve">$551,813,688 </w:t>
            </w:r>
          </w:p>
        </w:tc>
        <w:tc>
          <w:tcPr>
            <w:tcW w:w="300" w:type="dxa"/>
            <w:tcBorders>
              <w:top w:val="nil"/>
              <w:left w:val="nil"/>
              <w:bottom w:val="nil"/>
              <w:right w:val="single" w:sz="4" w:space="0" w:color="auto"/>
            </w:tcBorders>
            <w:noWrap/>
            <w:vAlign w:val="bottom"/>
          </w:tcPr>
          <w:p w14:paraId="7C910C72" w14:textId="77777777" w:rsidR="002E198C" w:rsidRPr="002E198C" w:rsidRDefault="002E198C" w:rsidP="002E198C">
            <w:pPr>
              <w:rPr>
                <w:rFonts w:ascii="Calibri" w:hAnsi="Calibri"/>
                <w:color w:val="000000"/>
                <w:sz w:val="22"/>
              </w:rPr>
            </w:pPr>
          </w:p>
        </w:tc>
      </w:tr>
      <w:tr w:rsidR="002E198C" w:rsidRPr="002E198C" w14:paraId="712D88E8" w14:textId="77777777" w:rsidTr="00E2006B">
        <w:trPr>
          <w:trHeight w:val="300"/>
        </w:trPr>
        <w:tc>
          <w:tcPr>
            <w:tcW w:w="266" w:type="dxa"/>
            <w:tcBorders>
              <w:top w:val="nil"/>
              <w:left w:val="single" w:sz="4" w:space="0" w:color="auto"/>
              <w:bottom w:val="nil"/>
              <w:right w:val="nil"/>
            </w:tcBorders>
            <w:noWrap/>
            <w:vAlign w:val="bottom"/>
          </w:tcPr>
          <w:p w14:paraId="449B0463" w14:textId="77777777" w:rsidR="002E198C" w:rsidRPr="002E198C" w:rsidRDefault="002E198C" w:rsidP="002E198C">
            <w:pPr>
              <w:rPr>
                <w:rFonts w:ascii="Calibri" w:hAnsi="Calibri"/>
                <w:color w:val="000000"/>
                <w:sz w:val="22"/>
              </w:rPr>
            </w:pPr>
          </w:p>
        </w:tc>
        <w:tc>
          <w:tcPr>
            <w:tcW w:w="3204" w:type="dxa"/>
            <w:noWrap/>
            <w:vAlign w:val="bottom"/>
          </w:tcPr>
          <w:p w14:paraId="0A04193E" w14:textId="77777777" w:rsidR="002E198C" w:rsidRPr="002E198C" w:rsidRDefault="002E198C" w:rsidP="002E198C">
            <w:pPr>
              <w:rPr>
                <w:color w:val="000000"/>
                <w:sz w:val="22"/>
                <w:u w:val="single"/>
              </w:rPr>
            </w:pPr>
          </w:p>
        </w:tc>
        <w:tc>
          <w:tcPr>
            <w:tcW w:w="2070" w:type="dxa"/>
            <w:tcBorders>
              <w:top w:val="single" w:sz="4" w:space="0" w:color="auto"/>
            </w:tcBorders>
            <w:noWrap/>
            <w:vAlign w:val="bottom"/>
          </w:tcPr>
          <w:p w14:paraId="5A4919BE" w14:textId="77777777" w:rsidR="002E198C" w:rsidRPr="002E198C" w:rsidRDefault="002E198C" w:rsidP="002E198C">
            <w:pPr>
              <w:rPr>
                <w:color w:val="000000"/>
                <w:sz w:val="16"/>
                <w:szCs w:val="16"/>
              </w:rPr>
            </w:pPr>
          </w:p>
        </w:tc>
        <w:tc>
          <w:tcPr>
            <w:tcW w:w="1440" w:type="dxa"/>
            <w:tcBorders>
              <w:top w:val="single" w:sz="4" w:space="0" w:color="auto"/>
            </w:tcBorders>
            <w:noWrap/>
            <w:vAlign w:val="bottom"/>
          </w:tcPr>
          <w:p w14:paraId="416D6D08" w14:textId="77777777" w:rsidR="002E198C" w:rsidRPr="002E198C" w:rsidRDefault="002E198C" w:rsidP="002E198C">
            <w:pPr>
              <w:rPr>
                <w:color w:val="000000"/>
                <w:sz w:val="22"/>
              </w:rPr>
            </w:pPr>
          </w:p>
        </w:tc>
        <w:tc>
          <w:tcPr>
            <w:tcW w:w="1729" w:type="dxa"/>
            <w:tcBorders>
              <w:top w:val="single" w:sz="4" w:space="0" w:color="auto"/>
            </w:tcBorders>
            <w:noWrap/>
            <w:vAlign w:val="bottom"/>
          </w:tcPr>
          <w:p w14:paraId="1DFCB209" w14:textId="77777777" w:rsidR="002E198C" w:rsidRPr="002E198C" w:rsidRDefault="002E198C" w:rsidP="002E198C">
            <w:pPr>
              <w:jc w:val="right"/>
              <w:rPr>
                <w:color w:val="000000"/>
                <w:sz w:val="22"/>
              </w:rPr>
            </w:pPr>
            <w:r w:rsidRPr="002E198C">
              <w:rPr>
                <w:color w:val="000000"/>
                <w:sz w:val="16"/>
                <w:szCs w:val="16"/>
              </w:rPr>
              <w:t>.</w:t>
            </w:r>
          </w:p>
        </w:tc>
        <w:tc>
          <w:tcPr>
            <w:tcW w:w="300" w:type="dxa"/>
            <w:tcBorders>
              <w:top w:val="nil"/>
              <w:left w:val="nil"/>
              <w:bottom w:val="nil"/>
              <w:right w:val="single" w:sz="4" w:space="0" w:color="auto"/>
            </w:tcBorders>
            <w:noWrap/>
            <w:vAlign w:val="bottom"/>
          </w:tcPr>
          <w:p w14:paraId="0246CCDA" w14:textId="77777777" w:rsidR="002E198C" w:rsidRPr="002E198C" w:rsidRDefault="002E198C" w:rsidP="002E198C">
            <w:pPr>
              <w:rPr>
                <w:rFonts w:ascii="Calibri" w:hAnsi="Calibri"/>
                <w:color w:val="000000"/>
                <w:sz w:val="22"/>
              </w:rPr>
            </w:pPr>
          </w:p>
        </w:tc>
      </w:tr>
      <w:tr w:rsidR="002E198C" w:rsidRPr="002E198C" w14:paraId="4CE748BB" w14:textId="77777777" w:rsidTr="00E2006B">
        <w:trPr>
          <w:trHeight w:val="300"/>
        </w:trPr>
        <w:tc>
          <w:tcPr>
            <w:tcW w:w="266" w:type="dxa"/>
            <w:tcBorders>
              <w:top w:val="nil"/>
              <w:left w:val="single" w:sz="4" w:space="0" w:color="auto"/>
              <w:bottom w:val="nil"/>
              <w:right w:val="nil"/>
            </w:tcBorders>
            <w:noWrap/>
            <w:vAlign w:val="bottom"/>
          </w:tcPr>
          <w:p w14:paraId="7AEA1195" w14:textId="77777777" w:rsidR="002E198C" w:rsidRPr="002E198C" w:rsidRDefault="002E198C" w:rsidP="002E198C">
            <w:pPr>
              <w:rPr>
                <w:rFonts w:ascii="Calibri" w:hAnsi="Calibri"/>
                <w:color w:val="000000"/>
                <w:sz w:val="22"/>
              </w:rPr>
            </w:pPr>
          </w:p>
        </w:tc>
        <w:tc>
          <w:tcPr>
            <w:tcW w:w="3204" w:type="dxa"/>
            <w:noWrap/>
            <w:vAlign w:val="bottom"/>
          </w:tcPr>
          <w:p w14:paraId="00B1883B" w14:textId="77777777" w:rsidR="002E198C" w:rsidRPr="002E198C" w:rsidRDefault="002E198C" w:rsidP="002E198C">
            <w:pPr>
              <w:rPr>
                <w:color w:val="000000"/>
                <w:sz w:val="22"/>
                <w:u w:val="single"/>
              </w:rPr>
            </w:pPr>
          </w:p>
        </w:tc>
        <w:tc>
          <w:tcPr>
            <w:tcW w:w="2070" w:type="dxa"/>
            <w:noWrap/>
            <w:vAlign w:val="bottom"/>
          </w:tcPr>
          <w:p w14:paraId="35C3DFBB" w14:textId="77777777" w:rsidR="002E198C" w:rsidRPr="002E198C" w:rsidRDefault="002E198C" w:rsidP="002E198C">
            <w:pPr>
              <w:rPr>
                <w:color w:val="000000"/>
                <w:sz w:val="22"/>
              </w:rPr>
            </w:pPr>
          </w:p>
        </w:tc>
        <w:tc>
          <w:tcPr>
            <w:tcW w:w="1440" w:type="dxa"/>
            <w:noWrap/>
            <w:vAlign w:val="bottom"/>
          </w:tcPr>
          <w:p w14:paraId="366AC76D" w14:textId="77777777" w:rsidR="002E198C" w:rsidRPr="002E198C" w:rsidRDefault="002E198C" w:rsidP="002E198C">
            <w:pPr>
              <w:rPr>
                <w:color w:val="000000"/>
                <w:sz w:val="22"/>
              </w:rPr>
            </w:pPr>
          </w:p>
        </w:tc>
        <w:tc>
          <w:tcPr>
            <w:tcW w:w="1729" w:type="dxa"/>
            <w:noWrap/>
            <w:vAlign w:val="bottom"/>
          </w:tcPr>
          <w:p w14:paraId="39717245" w14:textId="77777777" w:rsidR="002E198C" w:rsidRPr="002E198C" w:rsidRDefault="002E198C" w:rsidP="002E198C">
            <w:pPr>
              <w:rPr>
                <w:color w:val="000000"/>
                <w:sz w:val="22"/>
              </w:rPr>
            </w:pPr>
          </w:p>
        </w:tc>
        <w:tc>
          <w:tcPr>
            <w:tcW w:w="300" w:type="dxa"/>
            <w:tcBorders>
              <w:top w:val="nil"/>
              <w:left w:val="nil"/>
              <w:bottom w:val="nil"/>
              <w:right w:val="single" w:sz="4" w:space="0" w:color="auto"/>
            </w:tcBorders>
            <w:noWrap/>
            <w:vAlign w:val="bottom"/>
          </w:tcPr>
          <w:p w14:paraId="50399A75" w14:textId="77777777" w:rsidR="002E198C" w:rsidRPr="002E198C" w:rsidRDefault="002E198C" w:rsidP="002E198C">
            <w:pPr>
              <w:rPr>
                <w:rFonts w:ascii="Calibri" w:hAnsi="Calibri"/>
                <w:color w:val="000000"/>
                <w:sz w:val="22"/>
              </w:rPr>
            </w:pPr>
          </w:p>
        </w:tc>
      </w:tr>
      <w:tr w:rsidR="002E198C" w:rsidRPr="002E198C" w14:paraId="5D766D6A" w14:textId="77777777" w:rsidTr="00E2006B">
        <w:trPr>
          <w:trHeight w:val="300"/>
        </w:trPr>
        <w:tc>
          <w:tcPr>
            <w:tcW w:w="266" w:type="dxa"/>
            <w:tcBorders>
              <w:top w:val="nil"/>
              <w:left w:val="single" w:sz="4" w:space="0" w:color="auto"/>
              <w:bottom w:val="nil"/>
              <w:right w:val="nil"/>
            </w:tcBorders>
            <w:noWrap/>
            <w:vAlign w:val="bottom"/>
            <w:hideMark/>
          </w:tcPr>
          <w:p w14:paraId="5FDDF9AF"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noWrap/>
            <w:vAlign w:val="bottom"/>
            <w:hideMark/>
          </w:tcPr>
          <w:p w14:paraId="61C0A0EA" w14:textId="77777777" w:rsidR="002E198C" w:rsidRPr="002E198C" w:rsidRDefault="002E198C" w:rsidP="002E198C">
            <w:pPr>
              <w:rPr>
                <w:color w:val="000000"/>
                <w:sz w:val="22"/>
                <w:u w:val="single"/>
              </w:rPr>
            </w:pPr>
            <w:r w:rsidRPr="002E198C">
              <w:rPr>
                <w:color w:val="000000"/>
                <w:sz w:val="22"/>
                <w:u w:val="single"/>
              </w:rPr>
              <w:t>Income Statement</w:t>
            </w:r>
          </w:p>
        </w:tc>
        <w:tc>
          <w:tcPr>
            <w:tcW w:w="2070" w:type="dxa"/>
            <w:noWrap/>
            <w:vAlign w:val="bottom"/>
            <w:hideMark/>
          </w:tcPr>
          <w:p w14:paraId="35EA11E4" w14:textId="77777777" w:rsidR="002E198C" w:rsidRPr="002E198C" w:rsidRDefault="002E198C" w:rsidP="002E198C">
            <w:pPr>
              <w:rPr>
                <w:color w:val="000000"/>
                <w:sz w:val="22"/>
              </w:rPr>
            </w:pPr>
          </w:p>
        </w:tc>
        <w:tc>
          <w:tcPr>
            <w:tcW w:w="1440" w:type="dxa"/>
            <w:noWrap/>
            <w:vAlign w:val="bottom"/>
            <w:hideMark/>
          </w:tcPr>
          <w:p w14:paraId="6FBD2C58" w14:textId="77777777" w:rsidR="002E198C" w:rsidRPr="002E198C" w:rsidRDefault="002E198C" w:rsidP="002E198C">
            <w:pPr>
              <w:rPr>
                <w:color w:val="000000"/>
                <w:sz w:val="22"/>
              </w:rPr>
            </w:pPr>
          </w:p>
        </w:tc>
        <w:tc>
          <w:tcPr>
            <w:tcW w:w="1729" w:type="dxa"/>
            <w:noWrap/>
            <w:vAlign w:val="bottom"/>
            <w:hideMark/>
          </w:tcPr>
          <w:p w14:paraId="475B27FA" w14:textId="77777777" w:rsidR="002E198C" w:rsidRPr="002E198C" w:rsidRDefault="002E198C" w:rsidP="002E198C">
            <w:pPr>
              <w:rPr>
                <w:color w:val="000000"/>
                <w:sz w:val="22"/>
              </w:rPr>
            </w:pPr>
          </w:p>
        </w:tc>
        <w:tc>
          <w:tcPr>
            <w:tcW w:w="300" w:type="dxa"/>
            <w:tcBorders>
              <w:top w:val="nil"/>
              <w:left w:val="nil"/>
              <w:bottom w:val="nil"/>
              <w:right w:val="single" w:sz="4" w:space="0" w:color="auto"/>
            </w:tcBorders>
            <w:noWrap/>
            <w:vAlign w:val="bottom"/>
            <w:hideMark/>
          </w:tcPr>
          <w:p w14:paraId="0F196CFA"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3B093156" w14:textId="77777777" w:rsidTr="00E2006B">
        <w:trPr>
          <w:trHeight w:hRule="exact" w:val="302"/>
        </w:trPr>
        <w:tc>
          <w:tcPr>
            <w:tcW w:w="266" w:type="dxa"/>
            <w:tcBorders>
              <w:top w:val="nil"/>
              <w:left w:val="single" w:sz="4" w:space="0" w:color="auto"/>
              <w:bottom w:val="nil"/>
              <w:right w:val="nil"/>
            </w:tcBorders>
            <w:noWrap/>
            <w:vAlign w:val="bottom"/>
          </w:tcPr>
          <w:p w14:paraId="235056FF"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tcBorders>
              <w:bottom w:val="single" w:sz="4" w:space="0" w:color="auto"/>
            </w:tcBorders>
            <w:noWrap/>
            <w:vAlign w:val="bottom"/>
            <w:hideMark/>
          </w:tcPr>
          <w:p w14:paraId="5C264628" w14:textId="77777777" w:rsidR="002E198C" w:rsidRPr="002E198C" w:rsidRDefault="002E198C" w:rsidP="002E198C">
            <w:pPr>
              <w:rPr>
                <w:color w:val="000000"/>
                <w:sz w:val="22"/>
              </w:rPr>
            </w:pPr>
            <w:r w:rsidRPr="002E198C">
              <w:rPr>
                <w:color w:val="000000"/>
                <w:sz w:val="22"/>
              </w:rPr>
              <w:t>Total Operating Revenues</w:t>
            </w:r>
          </w:p>
        </w:tc>
        <w:tc>
          <w:tcPr>
            <w:tcW w:w="2070" w:type="dxa"/>
            <w:tcBorders>
              <w:top w:val="nil"/>
              <w:left w:val="nil"/>
              <w:bottom w:val="single" w:sz="4" w:space="0" w:color="auto"/>
              <w:right w:val="nil"/>
            </w:tcBorders>
            <w:noWrap/>
            <w:vAlign w:val="bottom"/>
            <w:hideMark/>
          </w:tcPr>
          <w:p w14:paraId="435E5E59" w14:textId="77777777" w:rsidR="002E198C" w:rsidRPr="002E198C" w:rsidRDefault="002E198C" w:rsidP="002E198C">
            <w:pPr>
              <w:jc w:val="right"/>
              <w:rPr>
                <w:color w:val="000000"/>
                <w:sz w:val="22"/>
              </w:rPr>
            </w:pPr>
            <w:r w:rsidRPr="002E198C">
              <w:rPr>
                <w:color w:val="000000"/>
                <w:sz w:val="22"/>
              </w:rPr>
              <w:t>$96,370,576</w:t>
            </w:r>
          </w:p>
        </w:tc>
        <w:tc>
          <w:tcPr>
            <w:tcW w:w="1440" w:type="dxa"/>
            <w:tcBorders>
              <w:top w:val="nil"/>
              <w:left w:val="nil"/>
              <w:bottom w:val="single" w:sz="4" w:space="0" w:color="auto"/>
              <w:right w:val="nil"/>
            </w:tcBorders>
            <w:noWrap/>
            <w:vAlign w:val="bottom"/>
            <w:hideMark/>
          </w:tcPr>
          <w:p w14:paraId="165652CD" w14:textId="77777777" w:rsidR="002E198C" w:rsidRPr="002E198C" w:rsidRDefault="002E198C" w:rsidP="002E198C">
            <w:pPr>
              <w:jc w:val="right"/>
              <w:rPr>
                <w:color w:val="000000"/>
                <w:sz w:val="22"/>
              </w:rPr>
            </w:pPr>
            <w:r w:rsidRPr="002E198C">
              <w:rPr>
                <w:color w:val="000000"/>
                <w:sz w:val="22"/>
              </w:rPr>
              <w:t xml:space="preserve">- </w:t>
            </w:r>
          </w:p>
        </w:tc>
        <w:tc>
          <w:tcPr>
            <w:tcW w:w="1729" w:type="dxa"/>
            <w:tcBorders>
              <w:top w:val="nil"/>
              <w:left w:val="nil"/>
              <w:bottom w:val="single" w:sz="4" w:space="0" w:color="auto"/>
              <w:right w:val="nil"/>
            </w:tcBorders>
            <w:noWrap/>
            <w:vAlign w:val="bottom"/>
            <w:hideMark/>
          </w:tcPr>
          <w:p w14:paraId="08B34D7B" w14:textId="77777777" w:rsidR="002E198C" w:rsidRPr="002E198C" w:rsidRDefault="002E198C" w:rsidP="002E198C">
            <w:pPr>
              <w:jc w:val="right"/>
              <w:rPr>
                <w:color w:val="000000"/>
                <w:sz w:val="22"/>
              </w:rPr>
            </w:pPr>
            <w:r w:rsidRPr="002E198C">
              <w:rPr>
                <w:color w:val="000000"/>
                <w:sz w:val="22"/>
              </w:rPr>
              <w:t>$96,370,576</w:t>
            </w:r>
          </w:p>
        </w:tc>
        <w:tc>
          <w:tcPr>
            <w:tcW w:w="300" w:type="dxa"/>
            <w:tcBorders>
              <w:top w:val="nil"/>
              <w:left w:val="nil"/>
              <w:bottom w:val="nil"/>
              <w:right w:val="single" w:sz="4" w:space="0" w:color="auto"/>
            </w:tcBorders>
            <w:noWrap/>
            <w:vAlign w:val="bottom"/>
          </w:tcPr>
          <w:p w14:paraId="61B01457"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33F1C19C" w14:textId="77777777" w:rsidTr="00E2006B">
        <w:trPr>
          <w:trHeight w:hRule="exact" w:val="302"/>
        </w:trPr>
        <w:tc>
          <w:tcPr>
            <w:tcW w:w="266" w:type="dxa"/>
            <w:tcBorders>
              <w:top w:val="nil"/>
              <w:left w:val="single" w:sz="4" w:space="0" w:color="auto"/>
              <w:bottom w:val="nil"/>
              <w:right w:val="nil"/>
            </w:tcBorders>
            <w:noWrap/>
            <w:vAlign w:val="bottom"/>
          </w:tcPr>
          <w:p w14:paraId="6AB68103" w14:textId="77777777" w:rsidR="002E198C" w:rsidRPr="002E198C" w:rsidRDefault="002E198C" w:rsidP="002E198C">
            <w:pPr>
              <w:rPr>
                <w:rFonts w:ascii="Calibri" w:hAnsi="Calibri"/>
                <w:color w:val="000000"/>
                <w:sz w:val="22"/>
              </w:rPr>
            </w:pPr>
          </w:p>
        </w:tc>
        <w:tc>
          <w:tcPr>
            <w:tcW w:w="3204" w:type="dxa"/>
            <w:tcBorders>
              <w:top w:val="single" w:sz="4" w:space="0" w:color="auto"/>
            </w:tcBorders>
            <w:noWrap/>
            <w:vAlign w:val="bottom"/>
          </w:tcPr>
          <w:p w14:paraId="768048F2" w14:textId="77777777" w:rsidR="002E198C" w:rsidRPr="002E198C" w:rsidRDefault="002E198C" w:rsidP="002E198C">
            <w:pPr>
              <w:rPr>
                <w:color w:val="000000"/>
                <w:sz w:val="22"/>
              </w:rPr>
            </w:pPr>
            <w:r w:rsidRPr="002E198C">
              <w:rPr>
                <w:color w:val="000000"/>
                <w:sz w:val="22"/>
              </w:rPr>
              <w:t>Operations &amp; Maintenance</w:t>
            </w:r>
          </w:p>
        </w:tc>
        <w:tc>
          <w:tcPr>
            <w:tcW w:w="2070" w:type="dxa"/>
            <w:noWrap/>
            <w:vAlign w:val="bottom"/>
          </w:tcPr>
          <w:p w14:paraId="327B6B98" w14:textId="77777777" w:rsidR="002E198C" w:rsidRPr="002E198C" w:rsidRDefault="002E198C" w:rsidP="002E198C">
            <w:pPr>
              <w:jc w:val="right"/>
              <w:rPr>
                <w:color w:val="000000"/>
                <w:sz w:val="22"/>
              </w:rPr>
            </w:pPr>
            <w:r w:rsidRPr="002E198C">
              <w:rPr>
                <w:color w:val="000000"/>
                <w:sz w:val="22"/>
              </w:rPr>
              <w:t>$40,130,443</w:t>
            </w:r>
          </w:p>
        </w:tc>
        <w:tc>
          <w:tcPr>
            <w:tcW w:w="1440" w:type="dxa"/>
            <w:noWrap/>
            <w:vAlign w:val="bottom"/>
          </w:tcPr>
          <w:p w14:paraId="43DB6D7A" w14:textId="77777777" w:rsidR="002E198C" w:rsidRPr="002E198C" w:rsidRDefault="002E198C" w:rsidP="002E198C">
            <w:pPr>
              <w:jc w:val="right"/>
              <w:rPr>
                <w:color w:val="000000"/>
                <w:sz w:val="22"/>
              </w:rPr>
            </w:pPr>
            <w:r w:rsidRPr="002E198C">
              <w:rPr>
                <w:color w:val="000000"/>
                <w:sz w:val="22"/>
              </w:rPr>
              <w:t>-</w:t>
            </w:r>
          </w:p>
        </w:tc>
        <w:tc>
          <w:tcPr>
            <w:tcW w:w="1729" w:type="dxa"/>
            <w:noWrap/>
            <w:vAlign w:val="bottom"/>
          </w:tcPr>
          <w:p w14:paraId="5403B131" w14:textId="77777777" w:rsidR="002E198C" w:rsidRPr="002E198C" w:rsidRDefault="002E198C" w:rsidP="002E198C">
            <w:pPr>
              <w:jc w:val="right"/>
              <w:rPr>
                <w:color w:val="000000"/>
                <w:sz w:val="22"/>
              </w:rPr>
            </w:pPr>
            <w:r w:rsidRPr="002E198C">
              <w:rPr>
                <w:color w:val="000000"/>
                <w:sz w:val="22"/>
              </w:rPr>
              <w:t>$40,130,443</w:t>
            </w:r>
          </w:p>
        </w:tc>
        <w:tc>
          <w:tcPr>
            <w:tcW w:w="300" w:type="dxa"/>
            <w:tcBorders>
              <w:top w:val="nil"/>
              <w:left w:val="nil"/>
              <w:bottom w:val="nil"/>
              <w:right w:val="single" w:sz="4" w:space="0" w:color="auto"/>
            </w:tcBorders>
            <w:noWrap/>
            <w:vAlign w:val="bottom"/>
          </w:tcPr>
          <w:p w14:paraId="2CB196C5" w14:textId="77777777" w:rsidR="002E198C" w:rsidRPr="002E198C" w:rsidRDefault="002E198C" w:rsidP="002E198C">
            <w:pPr>
              <w:rPr>
                <w:rFonts w:ascii="Calibri" w:hAnsi="Calibri"/>
                <w:color w:val="000000"/>
                <w:sz w:val="22"/>
              </w:rPr>
            </w:pPr>
          </w:p>
        </w:tc>
      </w:tr>
      <w:tr w:rsidR="002E198C" w:rsidRPr="002E198C" w14:paraId="5462D477" w14:textId="77777777" w:rsidTr="00E2006B">
        <w:trPr>
          <w:trHeight w:hRule="exact" w:val="302"/>
        </w:trPr>
        <w:tc>
          <w:tcPr>
            <w:tcW w:w="266" w:type="dxa"/>
            <w:tcBorders>
              <w:top w:val="nil"/>
              <w:left w:val="single" w:sz="4" w:space="0" w:color="auto"/>
              <w:bottom w:val="nil"/>
              <w:right w:val="nil"/>
            </w:tcBorders>
            <w:noWrap/>
            <w:vAlign w:val="bottom"/>
          </w:tcPr>
          <w:p w14:paraId="5C9D406E"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noWrap/>
            <w:vAlign w:val="bottom"/>
          </w:tcPr>
          <w:p w14:paraId="17BDB619" w14:textId="77777777" w:rsidR="002E198C" w:rsidRPr="002E198C" w:rsidRDefault="002E198C" w:rsidP="002E198C">
            <w:pPr>
              <w:rPr>
                <w:color w:val="000000"/>
                <w:sz w:val="22"/>
              </w:rPr>
            </w:pPr>
            <w:r w:rsidRPr="002E198C">
              <w:rPr>
                <w:color w:val="000000"/>
                <w:sz w:val="22"/>
              </w:rPr>
              <w:t>Depreciation</w:t>
            </w:r>
          </w:p>
        </w:tc>
        <w:tc>
          <w:tcPr>
            <w:tcW w:w="2070" w:type="dxa"/>
            <w:noWrap/>
            <w:vAlign w:val="bottom"/>
          </w:tcPr>
          <w:p w14:paraId="63FF9367" w14:textId="77777777" w:rsidR="002E198C" w:rsidRPr="002E198C" w:rsidRDefault="002E198C" w:rsidP="002E198C">
            <w:pPr>
              <w:jc w:val="right"/>
              <w:rPr>
                <w:color w:val="000000"/>
                <w:sz w:val="22"/>
              </w:rPr>
            </w:pPr>
            <w:r w:rsidRPr="002E198C">
              <w:rPr>
                <w:color w:val="000000"/>
                <w:sz w:val="22"/>
              </w:rPr>
              <w:t>17,176,614</w:t>
            </w:r>
          </w:p>
        </w:tc>
        <w:tc>
          <w:tcPr>
            <w:tcW w:w="1440" w:type="dxa"/>
            <w:noWrap/>
            <w:vAlign w:val="bottom"/>
          </w:tcPr>
          <w:p w14:paraId="5EC6CAB5" w14:textId="77777777" w:rsidR="002E198C" w:rsidRPr="002E198C" w:rsidRDefault="002E198C" w:rsidP="002E198C">
            <w:pPr>
              <w:jc w:val="right"/>
              <w:rPr>
                <w:color w:val="000000"/>
                <w:sz w:val="22"/>
              </w:rPr>
            </w:pPr>
            <w:r w:rsidRPr="002E198C">
              <w:rPr>
                <w:color w:val="000000"/>
                <w:sz w:val="22"/>
              </w:rPr>
              <w:t>-</w:t>
            </w:r>
          </w:p>
        </w:tc>
        <w:tc>
          <w:tcPr>
            <w:tcW w:w="1729" w:type="dxa"/>
            <w:noWrap/>
            <w:vAlign w:val="bottom"/>
          </w:tcPr>
          <w:p w14:paraId="0B5B5800" w14:textId="77777777" w:rsidR="002E198C" w:rsidRPr="002E198C" w:rsidRDefault="002E198C" w:rsidP="002E198C">
            <w:pPr>
              <w:jc w:val="right"/>
              <w:rPr>
                <w:color w:val="000000"/>
                <w:sz w:val="22"/>
              </w:rPr>
            </w:pPr>
            <w:r w:rsidRPr="002E198C">
              <w:rPr>
                <w:color w:val="000000"/>
                <w:sz w:val="22"/>
              </w:rPr>
              <w:t>17,176,614</w:t>
            </w:r>
          </w:p>
        </w:tc>
        <w:tc>
          <w:tcPr>
            <w:tcW w:w="300" w:type="dxa"/>
            <w:tcBorders>
              <w:top w:val="nil"/>
              <w:left w:val="nil"/>
              <w:bottom w:val="nil"/>
              <w:right w:val="single" w:sz="4" w:space="0" w:color="auto"/>
            </w:tcBorders>
            <w:noWrap/>
            <w:vAlign w:val="bottom"/>
          </w:tcPr>
          <w:p w14:paraId="4A4BAE19"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3F0ECE72" w14:textId="77777777" w:rsidTr="00E2006B">
        <w:trPr>
          <w:trHeight w:hRule="exact" w:val="302"/>
        </w:trPr>
        <w:tc>
          <w:tcPr>
            <w:tcW w:w="266" w:type="dxa"/>
            <w:tcBorders>
              <w:top w:val="nil"/>
              <w:left w:val="single" w:sz="4" w:space="0" w:color="auto"/>
              <w:bottom w:val="nil"/>
              <w:right w:val="nil"/>
            </w:tcBorders>
            <w:noWrap/>
            <w:vAlign w:val="bottom"/>
            <w:hideMark/>
          </w:tcPr>
          <w:p w14:paraId="6E7DBBD5" w14:textId="77777777" w:rsidR="002E198C" w:rsidRPr="002E198C" w:rsidRDefault="002E198C" w:rsidP="002E198C">
            <w:pPr>
              <w:rPr>
                <w:rFonts w:ascii="Calibri" w:hAnsi="Calibri"/>
                <w:color w:val="000000"/>
                <w:sz w:val="22"/>
              </w:rPr>
            </w:pPr>
          </w:p>
        </w:tc>
        <w:tc>
          <w:tcPr>
            <w:tcW w:w="3204" w:type="dxa"/>
            <w:noWrap/>
            <w:vAlign w:val="bottom"/>
            <w:hideMark/>
          </w:tcPr>
          <w:p w14:paraId="689BDC14" w14:textId="77777777" w:rsidR="002E198C" w:rsidRPr="002E198C" w:rsidRDefault="002E198C" w:rsidP="002E198C">
            <w:pPr>
              <w:rPr>
                <w:color w:val="000000"/>
                <w:sz w:val="22"/>
              </w:rPr>
            </w:pPr>
            <w:r w:rsidRPr="002E198C">
              <w:rPr>
                <w:color w:val="000000"/>
                <w:sz w:val="22"/>
              </w:rPr>
              <w:t>Amortization</w:t>
            </w:r>
          </w:p>
        </w:tc>
        <w:tc>
          <w:tcPr>
            <w:tcW w:w="2070" w:type="dxa"/>
            <w:noWrap/>
            <w:vAlign w:val="bottom"/>
            <w:hideMark/>
          </w:tcPr>
          <w:p w14:paraId="3E56D54A" w14:textId="77777777" w:rsidR="002E198C" w:rsidRPr="002E198C" w:rsidRDefault="002E198C" w:rsidP="002E198C">
            <w:pPr>
              <w:jc w:val="right"/>
              <w:rPr>
                <w:color w:val="000000"/>
                <w:sz w:val="22"/>
              </w:rPr>
            </w:pPr>
            <w:r w:rsidRPr="002E198C">
              <w:rPr>
                <w:color w:val="000000"/>
                <w:sz w:val="22"/>
              </w:rPr>
              <w:t>314,757</w:t>
            </w:r>
          </w:p>
        </w:tc>
        <w:tc>
          <w:tcPr>
            <w:tcW w:w="1440" w:type="dxa"/>
            <w:noWrap/>
            <w:vAlign w:val="bottom"/>
            <w:hideMark/>
          </w:tcPr>
          <w:p w14:paraId="2441528C" w14:textId="77777777" w:rsidR="002E198C" w:rsidRPr="002E198C" w:rsidRDefault="002E198C" w:rsidP="002E198C">
            <w:pPr>
              <w:jc w:val="right"/>
              <w:rPr>
                <w:color w:val="000000"/>
                <w:sz w:val="22"/>
              </w:rPr>
            </w:pPr>
            <w:r w:rsidRPr="002E198C">
              <w:rPr>
                <w:color w:val="000000"/>
                <w:sz w:val="22"/>
              </w:rPr>
              <w:t>-</w:t>
            </w:r>
          </w:p>
        </w:tc>
        <w:tc>
          <w:tcPr>
            <w:tcW w:w="1729" w:type="dxa"/>
            <w:noWrap/>
            <w:vAlign w:val="bottom"/>
            <w:hideMark/>
          </w:tcPr>
          <w:p w14:paraId="79089674" w14:textId="77777777" w:rsidR="002E198C" w:rsidRPr="002E198C" w:rsidRDefault="002E198C" w:rsidP="002E198C">
            <w:pPr>
              <w:jc w:val="right"/>
              <w:rPr>
                <w:color w:val="000000"/>
                <w:sz w:val="22"/>
              </w:rPr>
            </w:pPr>
            <w:r w:rsidRPr="002E198C">
              <w:rPr>
                <w:color w:val="000000"/>
                <w:sz w:val="22"/>
              </w:rPr>
              <w:t>314,757</w:t>
            </w:r>
          </w:p>
        </w:tc>
        <w:tc>
          <w:tcPr>
            <w:tcW w:w="300" w:type="dxa"/>
            <w:tcBorders>
              <w:top w:val="nil"/>
              <w:left w:val="nil"/>
              <w:bottom w:val="nil"/>
              <w:right w:val="single" w:sz="4" w:space="0" w:color="auto"/>
            </w:tcBorders>
            <w:noWrap/>
            <w:vAlign w:val="bottom"/>
            <w:hideMark/>
          </w:tcPr>
          <w:p w14:paraId="5980D8EC" w14:textId="77777777" w:rsidR="002E198C" w:rsidRPr="002E198C" w:rsidRDefault="002E198C" w:rsidP="002E198C">
            <w:pPr>
              <w:rPr>
                <w:rFonts w:ascii="Calibri" w:hAnsi="Calibri"/>
                <w:color w:val="000000"/>
                <w:sz w:val="22"/>
              </w:rPr>
            </w:pPr>
          </w:p>
        </w:tc>
      </w:tr>
      <w:tr w:rsidR="002E198C" w:rsidRPr="002E198C" w14:paraId="1E53A7AD" w14:textId="77777777" w:rsidTr="00E2006B">
        <w:trPr>
          <w:trHeight w:hRule="exact" w:val="302"/>
        </w:trPr>
        <w:tc>
          <w:tcPr>
            <w:tcW w:w="266" w:type="dxa"/>
            <w:tcBorders>
              <w:top w:val="nil"/>
              <w:left w:val="single" w:sz="4" w:space="0" w:color="auto"/>
              <w:bottom w:val="nil"/>
              <w:right w:val="nil"/>
            </w:tcBorders>
            <w:noWrap/>
            <w:vAlign w:val="bottom"/>
            <w:hideMark/>
          </w:tcPr>
          <w:p w14:paraId="3612B6CB"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noWrap/>
            <w:vAlign w:val="bottom"/>
            <w:hideMark/>
          </w:tcPr>
          <w:p w14:paraId="06FB5940" w14:textId="77777777" w:rsidR="002E198C" w:rsidRPr="002E198C" w:rsidRDefault="002E198C" w:rsidP="002E198C">
            <w:pPr>
              <w:rPr>
                <w:color w:val="000000"/>
                <w:sz w:val="22"/>
              </w:rPr>
            </w:pPr>
            <w:r w:rsidRPr="002E198C">
              <w:rPr>
                <w:color w:val="000000"/>
                <w:sz w:val="22"/>
              </w:rPr>
              <w:t>Taxes Other Than Income</w:t>
            </w:r>
          </w:p>
        </w:tc>
        <w:tc>
          <w:tcPr>
            <w:tcW w:w="2070" w:type="dxa"/>
            <w:noWrap/>
            <w:vAlign w:val="bottom"/>
            <w:hideMark/>
          </w:tcPr>
          <w:p w14:paraId="739B9502" w14:textId="77777777" w:rsidR="002E198C" w:rsidRPr="002E198C" w:rsidRDefault="002E198C" w:rsidP="002E198C">
            <w:pPr>
              <w:jc w:val="right"/>
              <w:rPr>
                <w:color w:val="000000"/>
                <w:sz w:val="22"/>
              </w:rPr>
            </w:pPr>
            <w:r w:rsidRPr="002E198C">
              <w:rPr>
                <w:color w:val="000000"/>
                <w:sz w:val="22"/>
              </w:rPr>
              <w:t>7,702,347</w:t>
            </w:r>
          </w:p>
        </w:tc>
        <w:tc>
          <w:tcPr>
            <w:tcW w:w="1440" w:type="dxa"/>
            <w:noWrap/>
            <w:vAlign w:val="bottom"/>
            <w:hideMark/>
          </w:tcPr>
          <w:p w14:paraId="32B066BD" w14:textId="77777777" w:rsidR="002E198C" w:rsidRPr="002E198C" w:rsidRDefault="002E198C" w:rsidP="002E198C">
            <w:pPr>
              <w:jc w:val="right"/>
              <w:rPr>
                <w:color w:val="000000"/>
                <w:sz w:val="22"/>
              </w:rPr>
            </w:pPr>
            <w:r w:rsidRPr="002E198C">
              <w:rPr>
                <w:color w:val="000000"/>
                <w:sz w:val="22"/>
              </w:rPr>
              <w:t xml:space="preserve">- </w:t>
            </w:r>
          </w:p>
        </w:tc>
        <w:tc>
          <w:tcPr>
            <w:tcW w:w="1729" w:type="dxa"/>
            <w:noWrap/>
            <w:vAlign w:val="bottom"/>
            <w:hideMark/>
          </w:tcPr>
          <w:p w14:paraId="346221A0" w14:textId="77777777" w:rsidR="002E198C" w:rsidRPr="002E198C" w:rsidRDefault="002E198C" w:rsidP="002E198C">
            <w:pPr>
              <w:jc w:val="right"/>
              <w:rPr>
                <w:color w:val="000000"/>
                <w:sz w:val="22"/>
              </w:rPr>
            </w:pPr>
            <w:r w:rsidRPr="002E198C">
              <w:rPr>
                <w:color w:val="000000"/>
                <w:sz w:val="22"/>
              </w:rPr>
              <w:t>7,702,347</w:t>
            </w:r>
          </w:p>
        </w:tc>
        <w:tc>
          <w:tcPr>
            <w:tcW w:w="300" w:type="dxa"/>
            <w:tcBorders>
              <w:top w:val="nil"/>
              <w:left w:val="nil"/>
              <w:bottom w:val="nil"/>
              <w:right w:val="single" w:sz="4" w:space="0" w:color="auto"/>
            </w:tcBorders>
            <w:noWrap/>
            <w:vAlign w:val="bottom"/>
            <w:hideMark/>
          </w:tcPr>
          <w:p w14:paraId="33B0BD1C" w14:textId="77777777" w:rsidR="002E198C" w:rsidRPr="002E198C" w:rsidRDefault="002E198C" w:rsidP="002E198C">
            <w:pPr>
              <w:rPr>
                <w:rFonts w:ascii="Calibri" w:hAnsi="Calibri"/>
                <w:color w:val="000000"/>
                <w:sz w:val="22"/>
              </w:rPr>
            </w:pPr>
          </w:p>
        </w:tc>
      </w:tr>
      <w:tr w:rsidR="002E198C" w:rsidRPr="002E198C" w14:paraId="7743B756" w14:textId="77777777" w:rsidTr="00E2006B">
        <w:trPr>
          <w:trHeight w:hRule="exact" w:val="302"/>
        </w:trPr>
        <w:tc>
          <w:tcPr>
            <w:tcW w:w="266" w:type="dxa"/>
            <w:tcBorders>
              <w:top w:val="nil"/>
              <w:left w:val="single" w:sz="4" w:space="0" w:color="auto"/>
              <w:bottom w:val="nil"/>
              <w:right w:val="nil"/>
            </w:tcBorders>
            <w:noWrap/>
            <w:vAlign w:val="bottom"/>
            <w:hideMark/>
          </w:tcPr>
          <w:p w14:paraId="0A545CC9"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noWrap/>
            <w:vAlign w:val="bottom"/>
            <w:hideMark/>
          </w:tcPr>
          <w:p w14:paraId="617842B1" w14:textId="77777777" w:rsidR="002E198C" w:rsidRPr="002E198C" w:rsidRDefault="002E198C" w:rsidP="002E198C">
            <w:pPr>
              <w:rPr>
                <w:color w:val="000000"/>
                <w:sz w:val="22"/>
              </w:rPr>
            </w:pPr>
            <w:r w:rsidRPr="002E198C">
              <w:rPr>
                <w:color w:val="000000"/>
                <w:sz w:val="22"/>
              </w:rPr>
              <w:t>Income Taxes - Federal</w:t>
            </w:r>
          </w:p>
        </w:tc>
        <w:tc>
          <w:tcPr>
            <w:tcW w:w="2070" w:type="dxa"/>
            <w:noWrap/>
            <w:vAlign w:val="bottom"/>
            <w:hideMark/>
          </w:tcPr>
          <w:p w14:paraId="5DA35891" w14:textId="77777777" w:rsidR="002E198C" w:rsidRPr="002E198C" w:rsidRDefault="002E198C" w:rsidP="002E198C">
            <w:pPr>
              <w:jc w:val="right"/>
              <w:rPr>
                <w:color w:val="000000"/>
                <w:sz w:val="22"/>
              </w:rPr>
            </w:pPr>
            <w:r w:rsidRPr="002E198C">
              <w:rPr>
                <w:color w:val="000000"/>
                <w:sz w:val="22"/>
              </w:rPr>
              <w:t>(5,852,708)</w:t>
            </w:r>
          </w:p>
        </w:tc>
        <w:tc>
          <w:tcPr>
            <w:tcW w:w="1440" w:type="dxa"/>
            <w:noWrap/>
            <w:vAlign w:val="bottom"/>
            <w:hideMark/>
          </w:tcPr>
          <w:p w14:paraId="5E898B77" w14:textId="77777777" w:rsidR="002E198C" w:rsidRPr="002E198C" w:rsidRDefault="002E198C" w:rsidP="002E198C">
            <w:pPr>
              <w:jc w:val="right"/>
              <w:rPr>
                <w:color w:val="000000"/>
                <w:sz w:val="22"/>
              </w:rPr>
            </w:pPr>
            <w:r w:rsidRPr="002E198C">
              <w:rPr>
                <w:color w:val="000000"/>
                <w:sz w:val="22"/>
              </w:rPr>
              <w:t xml:space="preserve">- </w:t>
            </w:r>
          </w:p>
        </w:tc>
        <w:tc>
          <w:tcPr>
            <w:tcW w:w="1729" w:type="dxa"/>
            <w:noWrap/>
            <w:vAlign w:val="bottom"/>
            <w:hideMark/>
          </w:tcPr>
          <w:p w14:paraId="5DB8376F" w14:textId="77777777" w:rsidR="002E198C" w:rsidRPr="002E198C" w:rsidRDefault="002E198C" w:rsidP="002E198C">
            <w:pPr>
              <w:jc w:val="right"/>
              <w:rPr>
                <w:color w:val="000000"/>
                <w:sz w:val="22"/>
              </w:rPr>
            </w:pPr>
            <w:r w:rsidRPr="002E198C">
              <w:rPr>
                <w:color w:val="000000"/>
                <w:sz w:val="22"/>
              </w:rPr>
              <w:t>(5,852,708)</w:t>
            </w:r>
          </w:p>
        </w:tc>
        <w:tc>
          <w:tcPr>
            <w:tcW w:w="300" w:type="dxa"/>
            <w:tcBorders>
              <w:top w:val="nil"/>
              <w:left w:val="nil"/>
              <w:bottom w:val="nil"/>
              <w:right w:val="single" w:sz="4" w:space="0" w:color="auto"/>
            </w:tcBorders>
            <w:noWrap/>
            <w:vAlign w:val="bottom"/>
            <w:hideMark/>
          </w:tcPr>
          <w:p w14:paraId="7F338A0B"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0FC3AFB9" w14:textId="77777777" w:rsidTr="00E2006B">
        <w:trPr>
          <w:trHeight w:hRule="exact" w:val="302"/>
        </w:trPr>
        <w:tc>
          <w:tcPr>
            <w:tcW w:w="266" w:type="dxa"/>
            <w:tcBorders>
              <w:top w:val="nil"/>
              <w:left w:val="single" w:sz="4" w:space="0" w:color="auto"/>
              <w:bottom w:val="nil"/>
              <w:right w:val="nil"/>
            </w:tcBorders>
            <w:noWrap/>
            <w:vAlign w:val="bottom"/>
            <w:hideMark/>
          </w:tcPr>
          <w:p w14:paraId="7BDD5B72" w14:textId="77777777" w:rsidR="002E198C" w:rsidRPr="002E198C" w:rsidRDefault="002E198C" w:rsidP="002E198C">
            <w:pPr>
              <w:rPr>
                <w:rFonts w:ascii="Calibri" w:hAnsi="Calibri"/>
                <w:color w:val="000000"/>
                <w:sz w:val="22"/>
              </w:rPr>
            </w:pPr>
          </w:p>
        </w:tc>
        <w:tc>
          <w:tcPr>
            <w:tcW w:w="3204" w:type="dxa"/>
            <w:noWrap/>
            <w:vAlign w:val="bottom"/>
            <w:hideMark/>
          </w:tcPr>
          <w:p w14:paraId="760A1255" w14:textId="77777777" w:rsidR="002E198C" w:rsidRPr="002E198C" w:rsidRDefault="002E198C" w:rsidP="002E198C">
            <w:pPr>
              <w:rPr>
                <w:color w:val="000000"/>
                <w:sz w:val="22"/>
              </w:rPr>
            </w:pPr>
            <w:r w:rsidRPr="002E198C">
              <w:rPr>
                <w:color w:val="000000"/>
                <w:sz w:val="22"/>
              </w:rPr>
              <w:t>Income Taxes – State</w:t>
            </w:r>
          </w:p>
        </w:tc>
        <w:tc>
          <w:tcPr>
            <w:tcW w:w="2070" w:type="dxa"/>
            <w:noWrap/>
            <w:vAlign w:val="bottom"/>
            <w:hideMark/>
          </w:tcPr>
          <w:p w14:paraId="7B6E32B3" w14:textId="77777777" w:rsidR="002E198C" w:rsidRPr="002E198C" w:rsidRDefault="002E198C" w:rsidP="002E198C">
            <w:pPr>
              <w:jc w:val="right"/>
              <w:rPr>
                <w:color w:val="000000"/>
                <w:sz w:val="22"/>
              </w:rPr>
            </w:pPr>
            <w:r w:rsidRPr="002E198C">
              <w:rPr>
                <w:color w:val="000000"/>
                <w:sz w:val="22"/>
              </w:rPr>
              <w:t>5,090,436</w:t>
            </w:r>
          </w:p>
        </w:tc>
        <w:tc>
          <w:tcPr>
            <w:tcW w:w="1440" w:type="dxa"/>
            <w:noWrap/>
            <w:vAlign w:val="bottom"/>
            <w:hideMark/>
          </w:tcPr>
          <w:p w14:paraId="4D9BE58D" w14:textId="77777777" w:rsidR="002E198C" w:rsidRPr="002E198C" w:rsidRDefault="002E198C" w:rsidP="002E198C">
            <w:pPr>
              <w:jc w:val="right"/>
              <w:rPr>
                <w:color w:val="000000"/>
                <w:sz w:val="22"/>
              </w:rPr>
            </w:pPr>
            <w:r w:rsidRPr="002E198C">
              <w:rPr>
                <w:color w:val="000000"/>
                <w:sz w:val="22"/>
              </w:rPr>
              <w:t>-</w:t>
            </w:r>
          </w:p>
        </w:tc>
        <w:tc>
          <w:tcPr>
            <w:tcW w:w="1729" w:type="dxa"/>
            <w:noWrap/>
            <w:vAlign w:val="bottom"/>
            <w:hideMark/>
          </w:tcPr>
          <w:p w14:paraId="70C23B0B" w14:textId="77777777" w:rsidR="002E198C" w:rsidRPr="002E198C" w:rsidRDefault="002E198C" w:rsidP="002E198C">
            <w:pPr>
              <w:jc w:val="right"/>
              <w:rPr>
                <w:color w:val="000000"/>
                <w:sz w:val="22"/>
              </w:rPr>
            </w:pPr>
            <w:r w:rsidRPr="002E198C">
              <w:rPr>
                <w:color w:val="000000"/>
                <w:sz w:val="22"/>
              </w:rPr>
              <w:t>5,090,436</w:t>
            </w:r>
          </w:p>
        </w:tc>
        <w:tc>
          <w:tcPr>
            <w:tcW w:w="300" w:type="dxa"/>
            <w:tcBorders>
              <w:top w:val="nil"/>
              <w:left w:val="nil"/>
              <w:bottom w:val="nil"/>
              <w:right w:val="single" w:sz="4" w:space="0" w:color="auto"/>
            </w:tcBorders>
            <w:noWrap/>
            <w:vAlign w:val="bottom"/>
            <w:hideMark/>
          </w:tcPr>
          <w:p w14:paraId="6660199E" w14:textId="77777777" w:rsidR="002E198C" w:rsidRPr="002E198C" w:rsidRDefault="002E198C" w:rsidP="002E198C">
            <w:pPr>
              <w:rPr>
                <w:rFonts w:ascii="Calibri" w:hAnsi="Calibri"/>
                <w:color w:val="000000"/>
                <w:sz w:val="22"/>
              </w:rPr>
            </w:pPr>
          </w:p>
        </w:tc>
      </w:tr>
      <w:tr w:rsidR="002E198C" w:rsidRPr="002E198C" w14:paraId="0FE4DB4F" w14:textId="77777777" w:rsidTr="00E2006B">
        <w:trPr>
          <w:trHeight w:hRule="exact" w:val="302"/>
        </w:trPr>
        <w:tc>
          <w:tcPr>
            <w:tcW w:w="266" w:type="dxa"/>
            <w:tcBorders>
              <w:top w:val="nil"/>
              <w:left w:val="single" w:sz="4" w:space="0" w:color="auto"/>
              <w:bottom w:val="nil"/>
              <w:right w:val="nil"/>
            </w:tcBorders>
            <w:noWrap/>
            <w:vAlign w:val="bottom"/>
            <w:hideMark/>
          </w:tcPr>
          <w:p w14:paraId="61390035" w14:textId="77777777" w:rsidR="002E198C" w:rsidRPr="002E198C" w:rsidRDefault="002E198C" w:rsidP="002E198C">
            <w:pPr>
              <w:rPr>
                <w:rFonts w:ascii="Calibri" w:hAnsi="Calibri"/>
                <w:color w:val="000000"/>
                <w:sz w:val="22"/>
              </w:rPr>
            </w:pPr>
          </w:p>
        </w:tc>
        <w:tc>
          <w:tcPr>
            <w:tcW w:w="3204" w:type="dxa"/>
            <w:noWrap/>
            <w:vAlign w:val="bottom"/>
            <w:hideMark/>
          </w:tcPr>
          <w:p w14:paraId="62C9CD57" w14:textId="77777777" w:rsidR="002E198C" w:rsidRPr="002E198C" w:rsidRDefault="002E198C" w:rsidP="002E198C">
            <w:pPr>
              <w:rPr>
                <w:color w:val="000000"/>
                <w:sz w:val="22"/>
              </w:rPr>
            </w:pPr>
            <w:r w:rsidRPr="002E198C">
              <w:rPr>
                <w:color w:val="000000"/>
                <w:sz w:val="22"/>
              </w:rPr>
              <w:t>Deferred Income Taxes - Federal</w:t>
            </w:r>
          </w:p>
        </w:tc>
        <w:tc>
          <w:tcPr>
            <w:tcW w:w="2070" w:type="dxa"/>
            <w:noWrap/>
            <w:vAlign w:val="bottom"/>
            <w:hideMark/>
          </w:tcPr>
          <w:p w14:paraId="72D76582" w14:textId="77777777" w:rsidR="002E198C" w:rsidRPr="002E198C" w:rsidRDefault="002E198C" w:rsidP="002E198C">
            <w:pPr>
              <w:jc w:val="right"/>
              <w:rPr>
                <w:color w:val="000000"/>
                <w:sz w:val="22"/>
              </w:rPr>
            </w:pPr>
            <w:r w:rsidRPr="002E198C">
              <w:rPr>
                <w:color w:val="000000"/>
                <w:sz w:val="22"/>
              </w:rPr>
              <w:t>8,962,592</w:t>
            </w:r>
          </w:p>
        </w:tc>
        <w:tc>
          <w:tcPr>
            <w:tcW w:w="1440" w:type="dxa"/>
            <w:noWrap/>
            <w:vAlign w:val="bottom"/>
            <w:hideMark/>
          </w:tcPr>
          <w:p w14:paraId="4C5E2370" w14:textId="77777777" w:rsidR="002E198C" w:rsidRPr="002E198C" w:rsidRDefault="002E198C" w:rsidP="002E198C">
            <w:pPr>
              <w:jc w:val="right"/>
              <w:rPr>
                <w:color w:val="000000"/>
                <w:sz w:val="22"/>
              </w:rPr>
            </w:pPr>
            <w:r w:rsidRPr="002E198C">
              <w:rPr>
                <w:color w:val="000000"/>
                <w:sz w:val="22"/>
              </w:rPr>
              <w:t>-</w:t>
            </w:r>
          </w:p>
        </w:tc>
        <w:tc>
          <w:tcPr>
            <w:tcW w:w="1729" w:type="dxa"/>
            <w:noWrap/>
            <w:vAlign w:val="bottom"/>
            <w:hideMark/>
          </w:tcPr>
          <w:p w14:paraId="5282593A" w14:textId="77777777" w:rsidR="002E198C" w:rsidRPr="002E198C" w:rsidRDefault="002E198C" w:rsidP="002E198C">
            <w:pPr>
              <w:jc w:val="right"/>
              <w:rPr>
                <w:color w:val="000000"/>
                <w:sz w:val="22"/>
              </w:rPr>
            </w:pPr>
            <w:r w:rsidRPr="002E198C">
              <w:rPr>
                <w:color w:val="000000"/>
                <w:sz w:val="22"/>
              </w:rPr>
              <w:t>8,962,592</w:t>
            </w:r>
          </w:p>
        </w:tc>
        <w:tc>
          <w:tcPr>
            <w:tcW w:w="300" w:type="dxa"/>
            <w:tcBorders>
              <w:top w:val="nil"/>
              <w:left w:val="nil"/>
              <w:bottom w:val="nil"/>
              <w:right w:val="single" w:sz="4" w:space="0" w:color="auto"/>
            </w:tcBorders>
            <w:noWrap/>
            <w:vAlign w:val="bottom"/>
            <w:hideMark/>
          </w:tcPr>
          <w:p w14:paraId="6DA5E23B"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58EB120C" w14:textId="77777777" w:rsidTr="00E2006B">
        <w:trPr>
          <w:trHeight w:hRule="exact" w:val="317"/>
        </w:trPr>
        <w:tc>
          <w:tcPr>
            <w:tcW w:w="266" w:type="dxa"/>
            <w:tcBorders>
              <w:top w:val="nil"/>
              <w:left w:val="single" w:sz="4" w:space="0" w:color="auto"/>
              <w:bottom w:val="nil"/>
              <w:right w:val="nil"/>
            </w:tcBorders>
            <w:noWrap/>
            <w:vAlign w:val="bottom"/>
          </w:tcPr>
          <w:p w14:paraId="59BE3280" w14:textId="77777777" w:rsidR="002E198C" w:rsidRPr="002E198C" w:rsidRDefault="002E198C" w:rsidP="002E198C">
            <w:pPr>
              <w:rPr>
                <w:rFonts w:ascii="Calibri" w:hAnsi="Calibri"/>
                <w:color w:val="000000"/>
                <w:sz w:val="22"/>
              </w:rPr>
            </w:pPr>
          </w:p>
        </w:tc>
        <w:tc>
          <w:tcPr>
            <w:tcW w:w="3204" w:type="dxa"/>
            <w:tcBorders>
              <w:bottom w:val="single" w:sz="4" w:space="0" w:color="auto"/>
            </w:tcBorders>
            <w:noWrap/>
            <w:vAlign w:val="bottom"/>
            <w:hideMark/>
          </w:tcPr>
          <w:p w14:paraId="70A4394E" w14:textId="77777777" w:rsidR="002E198C" w:rsidRPr="002E198C" w:rsidRDefault="002E198C" w:rsidP="002E198C">
            <w:pPr>
              <w:rPr>
                <w:color w:val="000000"/>
                <w:sz w:val="22"/>
              </w:rPr>
            </w:pPr>
            <w:r w:rsidRPr="002E198C">
              <w:rPr>
                <w:color w:val="000000"/>
                <w:sz w:val="22"/>
              </w:rPr>
              <w:t>Deferred Income Taxes - State</w:t>
            </w:r>
          </w:p>
        </w:tc>
        <w:tc>
          <w:tcPr>
            <w:tcW w:w="2070" w:type="dxa"/>
            <w:tcBorders>
              <w:bottom w:val="single" w:sz="4" w:space="0" w:color="auto"/>
            </w:tcBorders>
            <w:noWrap/>
            <w:vAlign w:val="bottom"/>
            <w:hideMark/>
          </w:tcPr>
          <w:p w14:paraId="6737593F" w14:textId="77777777" w:rsidR="002E198C" w:rsidRPr="002E198C" w:rsidRDefault="002E198C" w:rsidP="002E198C">
            <w:pPr>
              <w:jc w:val="right"/>
              <w:rPr>
                <w:color w:val="000000"/>
                <w:sz w:val="22"/>
              </w:rPr>
            </w:pPr>
            <w:r w:rsidRPr="002E198C">
              <w:rPr>
                <w:color w:val="000000"/>
                <w:sz w:val="22"/>
              </w:rPr>
              <w:t>(4,651,946)</w:t>
            </w:r>
          </w:p>
        </w:tc>
        <w:tc>
          <w:tcPr>
            <w:tcW w:w="1440" w:type="dxa"/>
            <w:tcBorders>
              <w:bottom w:val="single" w:sz="4" w:space="0" w:color="auto"/>
            </w:tcBorders>
            <w:noWrap/>
            <w:vAlign w:val="bottom"/>
            <w:hideMark/>
          </w:tcPr>
          <w:p w14:paraId="5167C617" w14:textId="77777777" w:rsidR="002E198C" w:rsidRPr="002E198C" w:rsidRDefault="002E198C" w:rsidP="002E198C">
            <w:pPr>
              <w:jc w:val="right"/>
              <w:rPr>
                <w:color w:val="000000"/>
                <w:sz w:val="22"/>
              </w:rPr>
            </w:pPr>
            <w:r w:rsidRPr="002E198C">
              <w:rPr>
                <w:color w:val="000000"/>
                <w:sz w:val="22"/>
              </w:rPr>
              <w:t>-</w:t>
            </w:r>
          </w:p>
        </w:tc>
        <w:tc>
          <w:tcPr>
            <w:tcW w:w="1729" w:type="dxa"/>
            <w:tcBorders>
              <w:bottom w:val="single" w:sz="4" w:space="0" w:color="auto"/>
            </w:tcBorders>
            <w:noWrap/>
            <w:vAlign w:val="bottom"/>
            <w:hideMark/>
          </w:tcPr>
          <w:p w14:paraId="15273208" w14:textId="77777777" w:rsidR="002E198C" w:rsidRPr="002E198C" w:rsidRDefault="002E198C" w:rsidP="002E198C">
            <w:pPr>
              <w:jc w:val="right"/>
              <w:rPr>
                <w:color w:val="000000"/>
                <w:sz w:val="22"/>
              </w:rPr>
            </w:pPr>
            <w:r w:rsidRPr="002E198C">
              <w:rPr>
                <w:color w:val="000000"/>
                <w:sz w:val="22"/>
              </w:rPr>
              <w:t>(4,651,946)</w:t>
            </w:r>
          </w:p>
        </w:tc>
        <w:tc>
          <w:tcPr>
            <w:tcW w:w="300" w:type="dxa"/>
            <w:tcBorders>
              <w:top w:val="nil"/>
              <w:left w:val="nil"/>
              <w:bottom w:val="nil"/>
              <w:right w:val="single" w:sz="4" w:space="0" w:color="auto"/>
            </w:tcBorders>
            <w:noWrap/>
            <w:vAlign w:val="bottom"/>
          </w:tcPr>
          <w:p w14:paraId="1BB70FEF" w14:textId="77777777" w:rsidR="002E198C" w:rsidRPr="002E198C" w:rsidRDefault="002E198C" w:rsidP="002E198C">
            <w:pPr>
              <w:rPr>
                <w:rFonts w:ascii="Calibri" w:hAnsi="Calibri"/>
                <w:color w:val="000000"/>
                <w:sz w:val="22"/>
              </w:rPr>
            </w:pPr>
          </w:p>
        </w:tc>
      </w:tr>
      <w:tr w:rsidR="002E198C" w:rsidRPr="002E198C" w14:paraId="4FE35F45" w14:textId="77777777" w:rsidTr="00E2006B">
        <w:trPr>
          <w:trHeight w:hRule="exact" w:val="317"/>
        </w:trPr>
        <w:tc>
          <w:tcPr>
            <w:tcW w:w="266" w:type="dxa"/>
            <w:tcBorders>
              <w:top w:val="nil"/>
              <w:left w:val="single" w:sz="4" w:space="0" w:color="auto"/>
              <w:bottom w:val="nil"/>
              <w:right w:val="nil"/>
            </w:tcBorders>
            <w:noWrap/>
            <w:vAlign w:val="bottom"/>
            <w:hideMark/>
          </w:tcPr>
          <w:p w14:paraId="4D20487A"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tcBorders>
              <w:top w:val="single" w:sz="4" w:space="0" w:color="auto"/>
              <w:bottom w:val="single" w:sz="4" w:space="0" w:color="auto"/>
            </w:tcBorders>
            <w:noWrap/>
            <w:vAlign w:val="bottom"/>
            <w:hideMark/>
          </w:tcPr>
          <w:p w14:paraId="6A893C4C" w14:textId="77777777" w:rsidR="002E198C" w:rsidRPr="002E198C" w:rsidRDefault="002E198C" w:rsidP="002E198C">
            <w:pPr>
              <w:rPr>
                <w:rFonts w:ascii="Calibri" w:hAnsi="Calibri"/>
                <w:color w:val="000000"/>
                <w:sz w:val="22"/>
              </w:rPr>
            </w:pPr>
            <w:r w:rsidRPr="002E198C">
              <w:rPr>
                <w:color w:val="000000"/>
                <w:sz w:val="22"/>
              </w:rPr>
              <w:t>Total Operating Expenses</w:t>
            </w:r>
          </w:p>
        </w:tc>
        <w:tc>
          <w:tcPr>
            <w:tcW w:w="2070" w:type="dxa"/>
            <w:tcBorders>
              <w:top w:val="single" w:sz="4" w:space="0" w:color="auto"/>
              <w:left w:val="nil"/>
              <w:bottom w:val="single" w:sz="4" w:space="0" w:color="auto"/>
              <w:right w:val="nil"/>
            </w:tcBorders>
            <w:noWrap/>
            <w:vAlign w:val="bottom"/>
            <w:hideMark/>
          </w:tcPr>
          <w:p w14:paraId="2DDB107E" w14:textId="77777777" w:rsidR="002E198C" w:rsidRPr="002E198C" w:rsidRDefault="002E198C" w:rsidP="002E198C">
            <w:pPr>
              <w:jc w:val="right"/>
              <w:rPr>
                <w:sz w:val="20"/>
                <w:szCs w:val="20"/>
              </w:rPr>
            </w:pPr>
            <w:r w:rsidRPr="002E198C">
              <w:rPr>
                <w:color w:val="000000"/>
                <w:sz w:val="22"/>
              </w:rPr>
              <w:t xml:space="preserve">             $68,872,535 </w:t>
            </w:r>
          </w:p>
        </w:tc>
        <w:tc>
          <w:tcPr>
            <w:tcW w:w="1440" w:type="dxa"/>
            <w:tcBorders>
              <w:top w:val="single" w:sz="4" w:space="0" w:color="auto"/>
              <w:left w:val="nil"/>
              <w:bottom w:val="single" w:sz="4" w:space="0" w:color="auto"/>
              <w:right w:val="nil"/>
            </w:tcBorders>
            <w:noWrap/>
            <w:vAlign w:val="bottom"/>
            <w:hideMark/>
          </w:tcPr>
          <w:p w14:paraId="4814864B" w14:textId="77777777" w:rsidR="002E198C" w:rsidRPr="002E198C" w:rsidRDefault="002E198C" w:rsidP="002E198C">
            <w:pPr>
              <w:jc w:val="right"/>
              <w:rPr>
                <w:sz w:val="20"/>
                <w:szCs w:val="20"/>
              </w:rPr>
            </w:pPr>
            <w:r w:rsidRPr="002E198C">
              <w:rPr>
                <w:color w:val="000000"/>
                <w:sz w:val="22"/>
              </w:rPr>
              <w:t xml:space="preserve">                    - </w:t>
            </w:r>
          </w:p>
        </w:tc>
        <w:tc>
          <w:tcPr>
            <w:tcW w:w="1729" w:type="dxa"/>
            <w:tcBorders>
              <w:top w:val="single" w:sz="4" w:space="0" w:color="auto"/>
              <w:left w:val="nil"/>
              <w:bottom w:val="single" w:sz="4" w:space="0" w:color="auto"/>
              <w:right w:val="nil"/>
            </w:tcBorders>
            <w:noWrap/>
            <w:vAlign w:val="bottom"/>
            <w:hideMark/>
          </w:tcPr>
          <w:p w14:paraId="5670C0E3" w14:textId="77777777" w:rsidR="002E198C" w:rsidRPr="002E198C" w:rsidRDefault="002E198C" w:rsidP="002E198C">
            <w:pPr>
              <w:jc w:val="right"/>
              <w:rPr>
                <w:sz w:val="20"/>
                <w:szCs w:val="20"/>
              </w:rPr>
            </w:pPr>
            <w:r w:rsidRPr="002E198C">
              <w:rPr>
                <w:color w:val="000000"/>
                <w:sz w:val="22"/>
              </w:rPr>
              <w:t xml:space="preserve">       $68,872,535 </w:t>
            </w:r>
          </w:p>
        </w:tc>
        <w:tc>
          <w:tcPr>
            <w:tcW w:w="300" w:type="dxa"/>
            <w:tcBorders>
              <w:top w:val="nil"/>
              <w:left w:val="nil"/>
              <w:bottom w:val="nil"/>
              <w:right w:val="single" w:sz="4" w:space="0" w:color="auto"/>
            </w:tcBorders>
            <w:noWrap/>
            <w:vAlign w:val="bottom"/>
            <w:hideMark/>
          </w:tcPr>
          <w:p w14:paraId="3EA4B5E8" w14:textId="77777777" w:rsidR="002E198C" w:rsidRPr="002E198C" w:rsidRDefault="002E198C" w:rsidP="002E198C">
            <w:pPr>
              <w:rPr>
                <w:rFonts w:ascii="Calibri" w:hAnsi="Calibri"/>
                <w:color w:val="000000"/>
                <w:sz w:val="22"/>
              </w:rPr>
            </w:pPr>
          </w:p>
        </w:tc>
      </w:tr>
      <w:tr w:rsidR="002E198C" w:rsidRPr="002E198C" w14:paraId="2E90E5CC" w14:textId="77777777" w:rsidTr="00E2006B">
        <w:trPr>
          <w:trHeight w:hRule="exact" w:val="302"/>
        </w:trPr>
        <w:tc>
          <w:tcPr>
            <w:tcW w:w="266" w:type="dxa"/>
            <w:tcBorders>
              <w:top w:val="nil"/>
              <w:left w:val="single" w:sz="4" w:space="0" w:color="auto"/>
              <w:bottom w:val="nil"/>
              <w:right w:val="nil"/>
            </w:tcBorders>
            <w:noWrap/>
            <w:vAlign w:val="bottom"/>
            <w:hideMark/>
          </w:tcPr>
          <w:p w14:paraId="60CAB9AC" w14:textId="77777777" w:rsidR="002E198C" w:rsidRPr="002E198C" w:rsidRDefault="002E198C" w:rsidP="002E198C">
            <w:pPr>
              <w:rPr>
                <w:rFonts w:ascii="Calibri" w:hAnsi="Calibri"/>
                <w:color w:val="000000"/>
                <w:sz w:val="22"/>
              </w:rPr>
            </w:pPr>
          </w:p>
        </w:tc>
        <w:tc>
          <w:tcPr>
            <w:tcW w:w="3204" w:type="dxa"/>
            <w:tcBorders>
              <w:top w:val="single" w:sz="4" w:space="0" w:color="auto"/>
            </w:tcBorders>
            <w:noWrap/>
            <w:vAlign w:val="bottom"/>
            <w:hideMark/>
          </w:tcPr>
          <w:p w14:paraId="5C41F2FE" w14:textId="77777777" w:rsidR="002E198C" w:rsidRPr="002E198C" w:rsidRDefault="002E198C" w:rsidP="002E198C">
            <w:pPr>
              <w:rPr>
                <w:rFonts w:ascii="Calibri" w:hAnsi="Calibri"/>
                <w:color w:val="000000"/>
                <w:sz w:val="22"/>
              </w:rPr>
            </w:pPr>
          </w:p>
        </w:tc>
        <w:tc>
          <w:tcPr>
            <w:tcW w:w="2070" w:type="dxa"/>
            <w:tcBorders>
              <w:top w:val="single" w:sz="4" w:space="0" w:color="auto"/>
              <w:left w:val="nil"/>
              <w:bottom w:val="single" w:sz="4" w:space="0" w:color="auto"/>
              <w:right w:val="nil"/>
            </w:tcBorders>
            <w:noWrap/>
            <w:vAlign w:val="bottom"/>
          </w:tcPr>
          <w:p w14:paraId="6913EF9C" w14:textId="77777777" w:rsidR="002E198C" w:rsidRPr="002E198C" w:rsidRDefault="002E198C" w:rsidP="002E198C">
            <w:pPr>
              <w:jc w:val="center"/>
              <w:rPr>
                <w:color w:val="000000"/>
                <w:sz w:val="22"/>
              </w:rPr>
            </w:pPr>
          </w:p>
        </w:tc>
        <w:tc>
          <w:tcPr>
            <w:tcW w:w="1440" w:type="dxa"/>
            <w:tcBorders>
              <w:top w:val="single" w:sz="4" w:space="0" w:color="auto"/>
              <w:left w:val="nil"/>
              <w:bottom w:val="single" w:sz="4" w:space="0" w:color="auto"/>
              <w:right w:val="nil"/>
            </w:tcBorders>
            <w:noWrap/>
            <w:vAlign w:val="bottom"/>
          </w:tcPr>
          <w:p w14:paraId="3CDC1EBF" w14:textId="77777777" w:rsidR="002E198C" w:rsidRPr="002E198C" w:rsidRDefault="002E198C" w:rsidP="002E198C">
            <w:pPr>
              <w:jc w:val="center"/>
              <w:rPr>
                <w:color w:val="000000"/>
                <w:sz w:val="22"/>
              </w:rPr>
            </w:pPr>
          </w:p>
        </w:tc>
        <w:tc>
          <w:tcPr>
            <w:tcW w:w="1729" w:type="dxa"/>
            <w:tcBorders>
              <w:top w:val="single" w:sz="4" w:space="0" w:color="auto"/>
              <w:left w:val="nil"/>
              <w:bottom w:val="single" w:sz="4" w:space="0" w:color="auto"/>
              <w:right w:val="nil"/>
            </w:tcBorders>
            <w:noWrap/>
            <w:vAlign w:val="bottom"/>
          </w:tcPr>
          <w:p w14:paraId="63944E84" w14:textId="77777777" w:rsidR="002E198C" w:rsidRPr="002E198C" w:rsidRDefault="002E198C" w:rsidP="002E198C">
            <w:pPr>
              <w:jc w:val="center"/>
              <w:rPr>
                <w:color w:val="000000"/>
                <w:sz w:val="22"/>
              </w:rPr>
            </w:pPr>
          </w:p>
        </w:tc>
        <w:tc>
          <w:tcPr>
            <w:tcW w:w="300" w:type="dxa"/>
            <w:tcBorders>
              <w:top w:val="nil"/>
              <w:left w:val="nil"/>
              <w:bottom w:val="nil"/>
              <w:right w:val="single" w:sz="4" w:space="0" w:color="auto"/>
            </w:tcBorders>
            <w:noWrap/>
            <w:vAlign w:val="bottom"/>
            <w:hideMark/>
          </w:tcPr>
          <w:p w14:paraId="4B950295" w14:textId="77777777" w:rsidR="002E198C" w:rsidRPr="002E198C" w:rsidRDefault="002E198C" w:rsidP="002E198C">
            <w:pPr>
              <w:rPr>
                <w:rFonts w:ascii="Calibri" w:hAnsi="Calibri"/>
                <w:color w:val="000000"/>
                <w:sz w:val="22"/>
              </w:rPr>
            </w:pPr>
          </w:p>
        </w:tc>
      </w:tr>
      <w:tr w:rsidR="002E198C" w:rsidRPr="002E198C" w14:paraId="16A505DA" w14:textId="77777777" w:rsidTr="00E2006B">
        <w:trPr>
          <w:trHeight w:hRule="exact" w:val="302"/>
        </w:trPr>
        <w:tc>
          <w:tcPr>
            <w:tcW w:w="266" w:type="dxa"/>
            <w:tcBorders>
              <w:top w:val="nil"/>
              <w:left w:val="single" w:sz="4" w:space="0" w:color="auto"/>
              <w:bottom w:val="nil"/>
              <w:right w:val="nil"/>
            </w:tcBorders>
            <w:noWrap/>
            <w:vAlign w:val="bottom"/>
            <w:hideMark/>
          </w:tcPr>
          <w:p w14:paraId="07CC8A85"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noWrap/>
            <w:vAlign w:val="bottom"/>
            <w:hideMark/>
          </w:tcPr>
          <w:p w14:paraId="4CEAC7C3" w14:textId="77777777" w:rsidR="002E198C" w:rsidRPr="002E198C" w:rsidRDefault="002E198C" w:rsidP="002E198C">
            <w:pPr>
              <w:rPr>
                <w:color w:val="000000"/>
                <w:sz w:val="22"/>
                <w:u w:val="single"/>
              </w:rPr>
            </w:pPr>
            <w:r w:rsidRPr="002E198C">
              <w:rPr>
                <w:color w:val="000000"/>
                <w:sz w:val="22"/>
              </w:rPr>
              <w:t>Net Operating Income</w:t>
            </w:r>
          </w:p>
        </w:tc>
        <w:tc>
          <w:tcPr>
            <w:tcW w:w="2070" w:type="dxa"/>
            <w:tcBorders>
              <w:top w:val="nil"/>
              <w:left w:val="nil"/>
              <w:bottom w:val="single" w:sz="8" w:space="0" w:color="auto"/>
              <w:right w:val="nil"/>
            </w:tcBorders>
            <w:noWrap/>
            <w:vAlign w:val="bottom"/>
          </w:tcPr>
          <w:p w14:paraId="65FE6D90" w14:textId="77777777" w:rsidR="002E198C" w:rsidRPr="002E198C" w:rsidRDefault="002E198C" w:rsidP="002E198C">
            <w:pPr>
              <w:jc w:val="right"/>
              <w:rPr>
                <w:color w:val="000000"/>
                <w:sz w:val="22"/>
              </w:rPr>
            </w:pPr>
            <w:r w:rsidRPr="002E198C">
              <w:rPr>
                <w:color w:val="000000"/>
                <w:sz w:val="22"/>
              </w:rPr>
              <w:t>$27,498,041</w:t>
            </w:r>
          </w:p>
        </w:tc>
        <w:tc>
          <w:tcPr>
            <w:tcW w:w="1440" w:type="dxa"/>
            <w:tcBorders>
              <w:top w:val="nil"/>
              <w:left w:val="nil"/>
              <w:bottom w:val="single" w:sz="8" w:space="0" w:color="auto"/>
              <w:right w:val="nil"/>
            </w:tcBorders>
            <w:noWrap/>
            <w:vAlign w:val="bottom"/>
          </w:tcPr>
          <w:p w14:paraId="6CBE1277" w14:textId="77777777" w:rsidR="002E198C" w:rsidRPr="002E198C" w:rsidRDefault="002E198C" w:rsidP="002E198C">
            <w:pPr>
              <w:jc w:val="right"/>
              <w:rPr>
                <w:color w:val="000000"/>
                <w:sz w:val="22"/>
              </w:rPr>
            </w:pPr>
            <w:r w:rsidRPr="002E198C">
              <w:rPr>
                <w:color w:val="000000"/>
                <w:sz w:val="22"/>
              </w:rPr>
              <w:t xml:space="preserve">- </w:t>
            </w:r>
          </w:p>
        </w:tc>
        <w:tc>
          <w:tcPr>
            <w:tcW w:w="1729" w:type="dxa"/>
            <w:tcBorders>
              <w:top w:val="nil"/>
              <w:left w:val="nil"/>
              <w:bottom w:val="single" w:sz="8" w:space="0" w:color="auto"/>
              <w:right w:val="nil"/>
            </w:tcBorders>
            <w:noWrap/>
            <w:vAlign w:val="bottom"/>
          </w:tcPr>
          <w:p w14:paraId="52D74150" w14:textId="77777777" w:rsidR="002E198C" w:rsidRPr="002E198C" w:rsidRDefault="002E198C" w:rsidP="002E198C">
            <w:pPr>
              <w:jc w:val="right"/>
              <w:rPr>
                <w:color w:val="000000"/>
                <w:sz w:val="22"/>
              </w:rPr>
            </w:pPr>
            <w:r w:rsidRPr="002E198C">
              <w:rPr>
                <w:color w:val="000000"/>
                <w:sz w:val="22"/>
              </w:rPr>
              <w:t>$27,498,041</w:t>
            </w:r>
          </w:p>
        </w:tc>
        <w:tc>
          <w:tcPr>
            <w:tcW w:w="300" w:type="dxa"/>
            <w:tcBorders>
              <w:top w:val="nil"/>
              <w:left w:val="nil"/>
              <w:bottom w:val="nil"/>
              <w:right w:val="single" w:sz="4" w:space="0" w:color="auto"/>
            </w:tcBorders>
            <w:noWrap/>
            <w:vAlign w:val="bottom"/>
            <w:hideMark/>
          </w:tcPr>
          <w:p w14:paraId="26F16B10" w14:textId="77777777" w:rsidR="002E198C" w:rsidRPr="002E198C" w:rsidRDefault="002E198C" w:rsidP="002E198C">
            <w:pPr>
              <w:rPr>
                <w:rFonts w:ascii="Calibri" w:hAnsi="Calibri"/>
                <w:color w:val="000000"/>
                <w:sz w:val="22"/>
              </w:rPr>
            </w:pPr>
          </w:p>
        </w:tc>
      </w:tr>
      <w:tr w:rsidR="002E198C" w:rsidRPr="002E198C" w14:paraId="2F2CA48F" w14:textId="77777777" w:rsidTr="00E2006B">
        <w:trPr>
          <w:trHeight w:hRule="exact" w:val="302"/>
        </w:trPr>
        <w:tc>
          <w:tcPr>
            <w:tcW w:w="266" w:type="dxa"/>
            <w:tcBorders>
              <w:top w:val="nil"/>
              <w:left w:val="single" w:sz="4" w:space="0" w:color="auto"/>
              <w:bottom w:val="nil"/>
              <w:right w:val="nil"/>
            </w:tcBorders>
            <w:noWrap/>
            <w:vAlign w:val="bottom"/>
            <w:hideMark/>
          </w:tcPr>
          <w:p w14:paraId="53DE4925"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noWrap/>
            <w:vAlign w:val="bottom"/>
            <w:hideMark/>
          </w:tcPr>
          <w:p w14:paraId="11A8FF30" w14:textId="77777777" w:rsidR="002E198C" w:rsidRPr="002E198C" w:rsidRDefault="002E198C" w:rsidP="002E198C">
            <w:pPr>
              <w:rPr>
                <w:color w:val="000000"/>
                <w:sz w:val="22"/>
              </w:rPr>
            </w:pPr>
            <w:r w:rsidRPr="002E198C">
              <w:rPr>
                <w:color w:val="000000"/>
                <w:sz w:val="22"/>
              </w:rPr>
              <w:t>Overall Rate of Return</w:t>
            </w:r>
          </w:p>
        </w:tc>
        <w:tc>
          <w:tcPr>
            <w:tcW w:w="2070" w:type="dxa"/>
            <w:tcBorders>
              <w:top w:val="nil"/>
              <w:left w:val="nil"/>
              <w:bottom w:val="double" w:sz="6" w:space="0" w:color="auto"/>
              <w:right w:val="nil"/>
            </w:tcBorders>
            <w:noWrap/>
            <w:vAlign w:val="bottom"/>
            <w:hideMark/>
          </w:tcPr>
          <w:p w14:paraId="1B5299C0" w14:textId="77777777" w:rsidR="002E198C" w:rsidRPr="002E198C" w:rsidRDefault="002E198C" w:rsidP="002E198C">
            <w:pPr>
              <w:jc w:val="right"/>
              <w:rPr>
                <w:color w:val="000000"/>
                <w:sz w:val="22"/>
              </w:rPr>
            </w:pPr>
            <w:r w:rsidRPr="002E198C">
              <w:rPr>
                <w:color w:val="000000"/>
                <w:sz w:val="22"/>
              </w:rPr>
              <w:t>4.98%</w:t>
            </w:r>
          </w:p>
        </w:tc>
        <w:tc>
          <w:tcPr>
            <w:tcW w:w="1440" w:type="dxa"/>
            <w:noWrap/>
            <w:vAlign w:val="bottom"/>
            <w:hideMark/>
          </w:tcPr>
          <w:p w14:paraId="4AE10EE6" w14:textId="77777777" w:rsidR="002E198C" w:rsidRPr="002E198C" w:rsidRDefault="002E198C" w:rsidP="002E198C">
            <w:pPr>
              <w:jc w:val="right"/>
              <w:rPr>
                <w:color w:val="000000"/>
                <w:sz w:val="22"/>
              </w:rPr>
            </w:pPr>
          </w:p>
        </w:tc>
        <w:tc>
          <w:tcPr>
            <w:tcW w:w="1729" w:type="dxa"/>
            <w:tcBorders>
              <w:top w:val="nil"/>
              <w:left w:val="nil"/>
              <w:bottom w:val="double" w:sz="6" w:space="0" w:color="auto"/>
              <w:right w:val="nil"/>
            </w:tcBorders>
            <w:noWrap/>
            <w:vAlign w:val="bottom"/>
            <w:hideMark/>
          </w:tcPr>
          <w:p w14:paraId="37057794" w14:textId="77777777" w:rsidR="002E198C" w:rsidRPr="002E198C" w:rsidRDefault="002E198C" w:rsidP="002E198C">
            <w:pPr>
              <w:jc w:val="right"/>
              <w:rPr>
                <w:color w:val="000000"/>
                <w:sz w:val="22"/>
              </w:rPr>
            </w:pPr>
            <w:r w:rsidRPr="002E198C">
              <w:rPr>
                <w:color w:val="000000"/>
                <w:sz w:val="22"/>
              </w:rPr>
              <w:t>4.98%</w:t>
            </w:r>
          </w:p>
        </w:tc>
        <w:tc>
          <w:tcPr>
            <w:tcW w:w="300" w:type="dxa"/>
            <w:tcBorders>
              <w:top w:val="nil"/>
              <w:left w:val="nil"/>
              <w:bottom w:val="nil"/>
              <w:right w:val="single" w:sz="4" w:space="0" w:color="auto"/>
            </w:tcBorders>
            <w:noWrap/>
            <w:vAlign w:val="bottom"/>
            <w:hideMark/>
          </w:tcPr>
          <w:p w14:paraId="67C9436D"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r w:rsidR="002E198C" w:rsidRPr="002E198C" w14:paraId="7CB14FAD" w14:textId="77777777" w:rsidTr="00E2006B">
        <w:trPr>
          <w:trHeight w:hRule="exact" w:val="302"/>
        </w:trPr>
        <w:tc>
          <w:tcPr>
            <w:tcW w:w="266" w:type="dxa"/>
            <w:tcBorders>
              <w:top w:val="nil"/>
              <w:left w:val="single" w:sz="4" w:space="0" w:color="auto"/>
              <w:bottom w:val="single" w:sz="4" w:space="0" w:color="auto"/>
              <w:right w:val="nil"/>
            </w:tcBorders>
            <w:noWrap/>
            <w:vAlign w:val="bottom"/>
          </w:tcPr>
          <w:p w14:paraId="5EB1D45E"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c>
          <w:tcPr>
            <w:tcW w:w="3204" w:type="dxa"/>
            <w:tcBorders>
              <w:top w:val="nil"/>
              <w:left w:val="nil"/>
              <w:bottom w:val="single" w:sz="4" w:space="0" w:color="auto"/>
              <w:right w:val="nil"/>
            </w:tcBorders>
            <w:noWrap/>
            <w:vAlign w:val="bottom"/>
            <w:hideMark/>
          </w:tcPr>
          <w:p w14:paraId="672D12DB" w14:textId="77777777" w:rsidR="002E198C" w:rsidRPr="002E198C" w:rsidRDefault="002E198C" w:rsidP="002E198C">
            <w:pPr>
              <w:rPr>
                <w:color w:val="000000"/>
                <w:sz w:val="22"/>
              </w:rPr>
            </w:pPr>
            <w:r w:rsidRPr="002E198C">
              <w:rPr>
                <w:color w:val="000000"/>
                <w:sz w:val="22"/>
              </w:rPr>
              <w:t>Return on Equity</w:t>
            </w:r>
          </w:p>
        </w:tc>
        <w:tc>
          <w:tcPr>
            <w:tcW w:w="2070" w:type="dxa"/>
            <w:tcBorders>
              <w:top w:val="nil"/>
              <w:left w:val="nil"/>
              <w:bottom w:val="single" w:sz="4" w:space="0" w:color="auto"/>
              <w:right w:val="nil"/>
            </w:tcBorders>
            <w:noWrap/>
            <w:vAlign w:val="bottom"/>
          </w:tcPr>
          <w:p w14:paraId="47394D4D" w14:textId="77777777" w:rsidR="002E198C" w:rsidRPr="002E198C" w:rsidRDefault="002E198C" w:rsidP="002E198C">
            <w:pPr>
              <w:jc w:val="right"/>
              <w:rPr>
                <w:color w:val="000000"/>
                <w:sz w:val="22"/>
              </w:rPr>
            </w:pPr>
            <w:r w:rsidRPr="002E198C">
              <w:rPr>
                <w:color w:val="000000"/>
                <w:sz w:val="22"/>
              </w:rPr>
              <w:t>8.50%</w:t>
            </w:r>
          </w:p>
        </w:tc>
        <w:tc>
          <w:tcPr>
            <w:tcW w:w="1440" w:type="dxa"/>
            <w:tcBorders>
              <w:top w:val="nil"/>
              <w:left w:val="nil"/>
              <w:bottom w:val="single" w:sz="4" w:space="0" w:color="auto"/>
              <w:right w:val="nil"/>
            </w:tcBorders>
            <w:noWrap/>
            <w:vAlign w:val="bottom"/>
          </w:tcPr>
          <w:p w14:paraId="7C575278" w14:textId="77777777" w:rsidR="002E198C" w:rsidRPr="002E198C" w:rsidRDefault="002E198C" w:rsidP="002E198C">
            <w:pPr>
              <w:jc w:val="right"/>
              <w:rPr>
                <w:color w:val="000000"/>
                <w:sz w:val="22"/>
              </w:rPr>
            </w:pPr>
            <w:r w:rsidRPr="002E198C">
              <w:rPr>
                <w:rFonts w:ascii="Calibri" w:hAnsi="Calibri"/>
                <w:color w:val="000000"/>
                <w:sz w:val="22"/>
              </w:rPr>
              <w:t> </w:t>
            </w:r>
          </w:p>
        </w:tc>
        <w:tc>
          <w:tcPr>
            <w:tcW w:w="1729" w:type="dxa"/>
            <w:tcBorders>
              <w:top w:val="nil"/>
              <w:left w:val="nil"/>
              <w:bottom w:val="single" w:sz="4" w:space="0" w:color="auto"/>
              <w:right w:val="nil"/>
            </w:tcBorders>
            <w:noWrap/>
            <w:vAlign w:val="bottom"/>
          </w:tcPr>
          <w:p w14:paraId="3D03BB15" w14:textId="77777777" w:rsidR="002E198C" w:rsidRPr="002E198C" w:rsidRDefault="002E198C" w:rsidP="002E198C">
            <w:pPr>
              <w:jc w:val="right"/>
              <w:rPr>
                <w:color w:val="000000"/>
                <w:sz w:val="22"/>
              </w:rPr>
            </w:pPr>
            <w:r w:rsidRPr="002E198C">
              <w:rPr>
                <w:color w:val="000000"/>
                <w:sz w:val="22"/>
              </w:rPr>
              <w:t>8.50%</w:t>
            </w:r>
          </w:p>
        </w:tc>
        <w:tc>
          <w:tcPr>
            <w:tcW w:w="300" w:type="dxa"/>
            <w:tcBorders>
              <w:top w:val="nil"/>
              <w:left w:val="nil"/>
              <w:bottom w:val="single" w:sz="4" w:space="0" w:color="auto"/>
              <w:right w:val="single" w:sz="4" w:space="0" w:color="auto"/>
            </w:tcBorders>
            <w:noWrap/>
            <w:vAlign w:val="bottom"/>
          </w:tcPr>
          <w:p w14:paraId="532CE746" w14:textId="77777777" w:rsidR="002E198C" w:rsidRPr="002E198C" w:rsidRDefault="002E198C" w:rsidP="002E198C">
            <w:pPr>
              <w:rPr>
                <w:rFonts w:ascii="Calibri" w:hAnsi="Calibri"/>
                <w:color w:val="000000"/>
                <w:sz w:val="22"/>
              </w:rPr>
            </w:pPr>
            <w:r w:rsidRPr="002E198C">
              <w:rPr>
                <w:rFonts w:ascii="Calibri" w:hAnsi="Calibri"/>
                <w:color w:val="000000"/>
                <w:sz w:val="22"/>
              </w:rPr>
              <w:t> </w:t>
            </w:r>
          </w:p>
        </w:tc>
      </w:tr>
    </w:tbl>
    <w:p w14:paraId="057C9F5E" w14:textId="77777777" w:rsidR="002E198C" w:rsidRDefault="002E198C" w:rsidP="002E198C">
      <w:pPr>
        <w:pStyle w:val="OrderBody"/>
      </w:pPr>
    </w:p>
    <w:p w14:paraId="2030CC4A" w14:textId="77777777" w:rsidR="002E198C" w:rsidRDefault="002E198C" w:rsidP="002E198C">
      <w:pPr>
        <w:pStyle w:val="OrderBody"/>
      </w:pPr>
    </w:p>
    <w:p w14:paraId="2801DAB8" w14:textId="77777777" w:rsidR="002E198C" w:rsidRDefault="002E198C" w:rsidP="002E198C">
      <w:pPr>
        <w:pStyle w:val="OrderBody"/>
        <w:sectPr w:rsidR="002E198C" w:rsidSect="002E198C">
          <w:headerReference w:type="default" r:id="rId8"/>
          <w:pgSz w:w="12240" w:h="15840" w:code="1"/>
          <w:pgMar w:top="1440" w:right="1440" w:bottom="1440" w:left="1440" w:header="720" w:footer="720" w:gutter="0"/>
          <w:cols w:space="720"/>
          <w:docGrid w:linePitch="360"/>
        </w:sectPr>
      </w:pPr>
    </w:p>
    <w:p w14:paraId="0022157F" w14:textId="77777777" w:rsidR="002E198C" w:rsidRDefault="002E198C" w:rsidP="002E198C">
      <w:pPr>
        <w:pStyle w:val="OrderBody"/>
      </w:pPr>
    </w:p>
    <w:p w14:paraId="79BC65B1"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Florida City Gas, INC.</w:t>
      </w:r>
    </w:p>
    <w:p w14:paraId="4B963EFF"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Docket No. 20260026-GU</w:t>
      </w:r>
    </w:p>
    <w:p w14:paraId="5DFB94AD"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Interim Base Year</w:t>
      </w:r>
    </w:p>
    <w:p w14:paraId="17839B19" w14:textId="77777777" w:rsidR="002E198C" w:rsidRPr="002E198C" w:rsidRDefault="002E198C" w:rsidP="002E198C">
      <w:pPr>
        <w:spacing w:after="240"/>
        <w:contextualSpacing/>
        <w:jc w:val="center"/>
        <w:rPr>
          <w:rFonts w:ascii="Arial" w:hAnsi="Arial" w:cs="Arial"/>
          <w:b/>
        </w:rPr>
      </w:pPr>
      <w:r w:rsidRPr="002E198C">
        <w:rPr>
          <w:rFonts w:ascii="Arial" w:hAnsi="Arial" w:cs="Arial"/>
          <w:b/>
        </w:rPr>
        <w:t>December 31, 2025</w:t>
      </w:r>
    </w:p>
    <w:p w14:paraId="2EE1D74A" w14:textId="77777777" w:rsidR="002E198C" w:rsidRPr="002E198C" w:rsidRDefault="002E198C" w:rsidP="002E198C">
      <w:pPr>
        <w:spacing w:after="240"/>
        <w:contextualSpacing/>
        <w:jc w:val="center"/>
        <w:rPr>
          <w:rFonts w:ascii="Arial" w:hAnsi="Arial" w:cs="Arial"/>
          <w:b/>
        </w:rPr>
      </w:pPr>
    </w:p>
    <w:tbl>
      <w:tblPr>
        <w:tblW w:w="0" w:type="auto"/>
        <w:jc w:val="center"/>
        <w:tblLook w:val="04A0" w:firstRow="1" w:lastRow="0" w:firstColumn="1" w:lastColumn="0" w:noHBand="0" w:noVBand="1"/>
      </w:tblPr>
      <w:tblGrid>
        <w:gridCol w:w="266"/>
        <w:gridCol w:w="2966"/>
        <w:gridCol w:w="1591"/>
        <w:gridCol w:w="1005"/>
        <w:gridCol w:w="881"/>
        <w:gridCol w:w="1121"/>
        <w:gridCol w:w="266"/>
      </w:tblGrid>
      <w:tr w:rsidR="002E198C" w:rsidRPr="002E198C" w14:paraId="278E076A" w14:textId="77777777" w:rsidTr="00E2006B">
        <w:trPr>
          <w:trHeight w:val="300"/>
          <w:jc w:val="center"/>
        </w:trPr>
        <w:tc>
          <w:tcPr>
            <w:tcW w:w="0" w:type="auto"/>
            <w:tcBorders>
              <w:top w:val="single" w:sz="4" w:space="0" w:color="auto"/>
              <w:left w:val="single" w:sz="4" w:space="0" w:color="auto"/>
              <w:bottom w:val="nil"/>
              <w:right w:val="nil"/>
            </w:tcBorders>
            <w:shd w:val="clear" w:color="auto" w:fill="auto"/>
            <w:noWrap/>
            <w:vAlign w:val="bottom"/>
            <w:hideMark/>
          </w:tcPr>
          <w:p w14:paraId="290CF71E"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single" w:sz="4" w:space="0" w:color="auto"/>
              <w:left w:val="nil"/>
              <w:bottom w:val="nil"/>
              <w:right w:val="nil"/>
            </w:tcBorders>
            <w:shd w:val="clear" w:color="auto" w:fill="auto"/>
            <w:noWrap/>
            <w:vAlign w:val="bottom"/>
            <w:hideMark/>
          </w:tcPr>
          <w:p w14:paraId="71710D71" w14:textId="77777777" w:rsidR="002E198C" w:rsidRPr="002E198C" w:rsidRDefault="002E198C" w:rsidP="002E198C">
            <w:pPr>
              <w:jc w:val="center"/>
              <w:rPr>
                <w:b/>
                <w:color w:val="000000"/>
                <w:sz w:val="22"/>
                <w:szCs w:val="22"/>
              </w:rPr>
            </w:pPr>
          </w:p>
        </w:tc>
        <w:tc>
          <w:tcPr>
            <w:tcW w:w="0" w:type="auto"/>
            <w:tcBorders>
              <w:top w:val="single" w:sz="4" w:space="0" w:color="auto"/>
              <w:left w:val="nil"/>
              <w:bottom w:val="nil"/>
              <w:right w:val="nil"/>
            </w:tcBorders>
            <w:shd w:val="clear" w:color="auto" w:fill="auto"/>
            <w:noWrap/>
            <w:vAlign w:val="bottom"/>
            <w:hideMark/>
          </w:tcPr>
          <w:p w14:paraId="191D9633" w14:textId="77777777" w:rsidR="002E198C" w:rsidRPr="002E198C" w:rsidRDefault="002E198C" w:rsidP="002E198C">
            <w:pPr>
              <w:jc w:val="center"/>
              <w:rPr>
                <w:b/>
                <w:color w:val="000000"/>
                <w:sz w:val="22"/>
                <w:szCs w:val="22"/>
              </w:rPr>
            </w:pPr>
            <w:r w:rsidRPr="002E198C">
              <w:rPr>
                <w:b/>
                <w:color w:val="000000"/>
                <w:sz w:val="22"/>
                <w:szCs w:val="22"/>
              </w:rPr>
              <w:t>Jurisdictional</w:t>
            </w:r>
          </w:p>
        </w:tc>
        <w:tc>
          <w:tcPr>
            <w:tcW w:w="0" w:type="auto"/>
            <w:tcBorders>
              <w:top w:val="single" w:sz="4" w:space="0" w:color="auto"/>
              <w:left w:val="nil"/>
              <w:bottom w:val="nil"/>
              <w:right w:val="nil"/>
            </w:tcBorders>
            <w:shd w:val="clear" w:color="auto" w:fill="auto"/>
            <w:noWrap/>
            <w:vAlign w:val="bottom"/>
            <w:hideMark/>
          </w:tcPr>
          <w:p w14:paraId="1F17D69B" w14:textId="77777777" w:rsidR="002E198C" w:rsidRPr="002E198C" w:rsidRDefault="002E198C" w:rsidP="002E198C">
            <w:pPr>
              <w:jc w:val="center"/>
              <w:rPr>
                <w:b/>
                <w:color w:val="000000"/>
                <w:sz w:val="22"/>
                <w:szCs w:val="22"/>
              </w:rPr>
            </w:pPr>
          </w:p>
        </w:tc>
        <w:tc>
          <w:tcPr>
            <w:tcW w:w="881" w:type="dxa"/>
            <w:tcBorders>
              <w:top w:val="single" w:sz="4" w:space="0" w:color="auto"/>
              <w:left w:val="nil"/>
              <w:bottom w:val="nil"/>
              <w:right w:val="nil"/>
            </w:tcBorders>
            <w:shd w:val="clear" w:color="auto" w:fill="auto"/>
            <w:noWrap/>
            <w:vAlign w:val="bottom"/>
            <w:hideMark/>
          </w:tcPr>
          <w:p w14:paraId="7090B4FF" w14:textId="77777777" w:rsidR="002E198C" w:rsidRPr="002E198C" w:rsidRDefault="002E198C" w:rsidP="002E198C">
            <w:pPr>
              <w:jc w:val="center"/>
              <w:rPr>
                <w:b/>
                <w:color w:val="000000"/>
                <w:sz w:val="22"/>
                <w:szCs w:val="22"/>
              </w:rPr>
            </w:pPr>
          </w:p>
        </w:tc>
        <w:tc>
          <w:tcPr>
            <w:tcW w:w="1043" w:type="dxa"/>
            <w:tcBorders>
              <w:top w:val="single" w:sz="4" w:space="0" w:color="auto"/>
              <w:left w:val="nil"/>
              <w:bottom w:val="nil"/>
              <w:right w:val="nil"/>
            </w:tcBorders>
            <w:shd w:val="clear" w:color="auto" w:fill="auto"/>
            <w:noWrap/>
            <w:vAlign w:val="bottom"/>
            <w:hideMark/>
          </w:tcPr>
          <w:p w14:paraId="7A7C9FC8" w14:textId="77777777" w:rsidR="002E198C" w:rsidRPr="002E198C" w:rsidRDefault="002E198C" w:rsidP="002E198C">
            <w:pPr>
              <w:jc w:val="center"/>
              <w:rPr>
                <w:b/>
                <w:color w:val="000000"/>
                <w:sz w:val="22"/>
                <w:szCs w:val="22"/>
              </w:rPr>
            </w:pPr>
          </w:p>
        </w:tc>
        <w:tc>
          <w:tcPr>
            <w:tcW w:w="0" w:type="auto"/>
            <w:tcBorders>
              <w:top w:val="single" w:sz="4" w:space="0" w:color="auto"/>
              <w:left w:val="nil"/>
              <w:bottom w:val="nil"/>
              <w:right w:val="single" w:sz="4" w:space="0" w:color="auto"/>
            </w:tcBorders>
            <w:shd w:val="clear" w:color="auto" w:fill="auto"/>
            <w:noWrap/>
            <w:vAlign w:val="bottom"/>
            <w:hideMark/>
          </w:tcPr>
          <w:p w14:paraId="1A0AB352"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58D686B3" w14:textId="77777777" w:rsidTr="00E2006B">
        <w:trPr>
          <w:trHeight w:val="300"/>
          <w:jc w:val="center"/>
        </w:trPr>
        <w:tc>
          <w:tcPr>
            <w:tcW w:w="0" w:type="auto"/>
            <w:tcBorders>
              <w:top w:val="nil"/>
              <w:left w:val="single" w:sz="4" w:space="0" w:color="auto"/>
              <w:bottom w:val="nil"/>
              <w:right w:val="nil"/>
            </w:tcBorders>
            <w:shd w:val="clear" w:color="auto" w:fill="auto"/>
            <w:noWrap/>
            <w:vAlign w:val="bottom"/>
            <w:hideMark/>
          </w:tcPr>
          <w:p w14:paraId="0EBF30F2"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57C579AC" w14:textId="77777777" w:rsidR="002E198C" w:rsidRPr="002E198C" w:rsidRDefault="002E198C" w:rsidP="002E198C">
            <w:pPr>
              <w:jc w:val="center"/>
              <w:rPr>
                <w:b/>
                <w:color w:val="000000"/>
                <w:sz w:val="22"/>
                <w:szCs w:val="22"/>
              </w:rPr>
            </w:pPr>
          </w:p>
        </w:tc>
        <w:tc>
          <w:tcPr>
            <w:tcW w:w="0" w:type="auto"/>
            <w:tcBorders>
              <w:top w:val="nil"/>
              <w:left w:val="nil"/>
              <w:bottom w:val="nil"/>
              <w:right w:val="nil"/>
            </w:tcBorders>
            <w:shd w:val="clear" w:color="auto" w:fill="auto"/>
            <w:noWrap/>
            <w:vAlign w:val="bottom"/>
            <w:hideMark/>
          </w:tcPr>
          <w:p w14:paraId="4DD99972" w14:textId="77777777" w:rsidR="002E198C" w:rsidRPr="002E198C" w:rsidRDefault="002E198C" w:rsidP="002E198C">
            <w:pPr>
              <w:jc w:val="center"/>
              <w:rPr>
                <w:b/>
                <w:color w:val="000000"/>
                <w:sz w:val="22"/>
                <w:szCs w:val="22"/>
              </w:rPr>
            </w:pPr>
            <w:r w:rsidRPr="002E198C">
              <w:rPr>
                <w:b/>
                <w:color w:val="000000"/>
                <w:sz w:val="22"/>
                <w:szCs w:val="22"/>
              </w:rPr>
              <w:t>Capital</w:t>
            </w:r>
          </w:p>
        </w:tc>
        <w:tc>
          <w:tcPr>
            <w:tcW w:w="0" w:type="auto"/>
            <w:tcBorders>
              <w:top w:val="nil"/>
              <w:left w:val="nil"/>
              <w:bottom w:val="nil"/>
              <w:right w:val="nil"/>
            </w:tcBorders>
            <w:shd w:val="clear" w:color="auto" w:fill="auto"/>
            <w:noWrap/>
            <w:vAlign w:val="bottom"/>
            <w:hideMark/>
          </w:tcPr>
          <w:p w14:paraId="2FE07BB6" w14:textId="77777777" w:rsidR="002E198C" w:rsidRPr="002E198C" w:rsidRDefault="002E198C" w:rsidP="002E198C">
            <w:pPr>
              <w:jc w:val="center"/>
              <w:rPr>
                <w:b/>
                <w:color w:val="000000"/>
                <w:sz w:val="22"/>
                <w:szCs w:val="22"/>
              </w:rPr>
            </w:pPr>
          </w:p>
        </w:tc>
        <w:tc>
          <w:tcPr>
            <w:tcW w:w="881" w:type="dxa"/>
            <w:tcBorders>
              <w:top w:val="nil"/>
              <w:left w:val="nil"/>
              <w:bottom w:val="nil"/>
              <w:right w:val="nil"/>
            </w:tcBorders>
            <w:shd w:val="clear" w:color="auto" w:fill="auto"/>
            <w:noWrap/>
            <w:vAlign w:val="bottom"/>
            <w:hideMark/>
          </w:tcPr>
          <w:p w14:paraId="51F6D207" w14:textId="77777777" w:rsidR="002E198C" w:rsidRPr="002E198C" w:rsidRDefault="002E198C" w:rsidP="002E198C">
            <w:pPr>
              <w:jc w:val="center"/>
              <w:rPr>
                <w:b/>
                <w:color w:val="000000"/>
                <w:sz w:val="22"/>
                <w:szCs w:val="22"/>
              </w:rPr>
            </w:pPr>
          </w:p>
        </w:tc>
        <w:tc>
          <w:tcPr>
            <w:tcW w:w="1043" w:type="dxa"/>
            <w:tcBorders>
              <w:top w:val="nil"/>
              <w:left w:val="nil"/>
              <w:bottom w:val="nil"/>
              <w:right w:val="nil"/>
            </w:tcBorders>
            <w:shd w:val="clear" w:color="auto" w:fill="auto"/>
            <w:noWrap/>
            <w:vAlign w:val="bottom"/>
            <w:hideMark/>
          </w:tcPr>
          <w:p w14:paraId="04E43961" w14:textId="77777777" w:rsidR="002E198C" w:rsidRPr="002E198C" w:rsidRDefault="002E198C" w:rsidP="002E198C">
            <w:pPr>
              <w:jc w:val="center"/>
              <w:rPr>
                <w:b/>
                <w:color w:val="000000"/>
                <w:sz w:val="22"/>
                <w:szCs w:val="22"/>
              </w:rPr>
            </w:pPr>
            <w:r w:rsidRPr="002E198C">
              <w:rPr>
                <w:b/>
                <w:color w:val="000000"/>
                <w:sz w:val="22"/>
                <w:szCs w:val="22"/>
              </w:rPr>
              <w:t>Weighted</w:t>
            </w:r>
          </w:p>
        </w:tc>
        <w:tc>
          <w:tcPr>
            <w:tcW w:w="0" w:type="auto"/>
            <w:tcBorders>
              <w:top w:val="nil"/>
              <w:left w:val="nil"/>
              <w:bottom w:val="nil"/>
              <w:right w:val="single" w:sz="4" w:space="0" w:color="auto"/>
            </w:tcBorders>
            <w:shd w:val="clear" w:color="auto" w:fill="auto"/>
            <w:noWrap/>
            <w:vAlign w:val="bottom"/>
            <w:hideMark/>
          </w:tcPr>
          <w:p w14:paraId="4279E1C1"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0A38644B" w14:textId="77777777" w:rsidTr="00E2006B">
        <w:trPr>
          <w:trHeight w:val="300"/>
          <w:jc w:val="center"/>
        </w:trPr>
        <w:tc>
          <w:tcPr>
            <w:tcW w:w="0" w:type="auto"/>
            <w:tcBorders>
              <w:top w:val="nil"/>
              <w:left w:val="single" w:sz="4" w:space="0" w:color="auto"/>
              <w:bottom w:val="single" w:sz="4" w:space="0" w:color="auto"/>
              <w:right w:val="nil"/>
            </w:tcBorders>
            <w:shd w:val="clear" w:color="auto" w:fill="auto"/>
            <w:noWrap/>
            <w:vAlign w:val="bottom"/>
            <w:hideMark/>
          </w:tcPr>
          <w:p w14:paraId="38FA55D9"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76BC30FB" w14:textId="77777777" w:rsidR="002E198C" w:rsidRPr="002E198C" w:rsidRDefault="002E198C" w:rsidP="002E198C">
            <w:pPr>
              <w:jc w:val="center"/>
              <w:rPr>
                <w:b/>
                <w:color w:val="000000"/>
                <w:sz w:val="22"/>
                <w:szCs w:val="22"/>
              </w:rPr>
            </w:pPr>
            <w:r w:rsidRPr="002E198C">
              <w:rPr>
                <w:b/>
                <w:color w:val="000000"/>
                <w:sz w:val="22"/>
                <w:szCs w:val="22"/>
              </w:rPr>
              <w:t>Capital Component</w:t>
            </w:r>
          </w:p>
        </w:tc>
        <w:tc>
          <w:tcPr>
            <w:tcW w:w="0" w:type="auto"/>
            <w:tcBorders>
              <w:top w:val="nil"/>
              <w:left w:val="nil"/>
              <w:bottom w:val="single" w:sz="4" w:space="0" w:color="auto"/>
              <w:right w:val="nil"/>
            </w:tcBorders>
            <w:shd w:val="clear" w:color="auto" w:fill="auto"/>
            <w:noWrap/>
            <w:vAlign w:val="bottom"/>
            <w:hideMark/>
          </w:tcPr>
          <w:p w14:paraId="2CB01481" w14:textId="77777777" w:rsidR="002E198C" w:rsidRPr="002E198C" w:rsidRDefault="002E198C" w:rsidP="002E198C">
            <w:pPr>
              <w:jc w:val="center"/>
              <w:rPr>
                <w:b/>
                <w:color w:val="000000"/>
                <w:sz w:val="22"/>
                <w:szCs w:val="22"/>
              </w:rPr>
            </w:pPr>
            <w:r w:rsidRPr="002E198C">
              <w:rPr>
                <w:b/>
                <w:color w:val="000000"/>
                <w:sz w:val="22"/>
                <w:szCs w:val="22"/>
              </w:rPr>
              <w:t>Structure</w:t>
            </w:r>
          </w:p>
        </w:tc>
        <w:tc>
          <w:tcPr>
            <w:tcW w:w="0" w:type="auto"/>
            <w:tcBorders>
              <w:top w:val="nil"/>
              <w:left w:val="nil"/>
              <w:bottom w:val="single" w:sz="4" w:space="0" w:color="auto"/>
              <w:right w:val="nil"/>
            </w:tcBorders>
            <w:shd w:val="clear" w:color="auto" w:fill="auto"/>
            <w:noWrap/>
            <w:vAlign w:val="bottom"/>
            <w:hideMark/>
          </w:tcPr>
          <w:p w14:paraId="7A0F747F" w14:textId="77777777" w:rsidR="002E198C" w:rsidRPr="002E198C" w:rsidRDefault="002E198C" w:rsidP="002E198C">
            <w:pPr>
              <w:jc w:val="center"/>
              <w:rPr>
                <w:b/>
                <w:color w:val="000000"/>
                <w:sz w:val="22"/>
                <w:szCs w:val="22"/>
              </w:rPr>
            </w:pPr>
            <w:r w:rsidRPr="002E198C">
              <w:rPr>
                <w:b/>
                <w:color w:val="000000"/>
                <w:sz w:val="22"/>
                <w:szCs w:val="22"/>
              </w:rPr>
              <w:t>Ratio</w:t>
            </w:r>
          </w:p>
        </w:tc>
        <w:tc>
          <w:tcPr>
            <w:tcW w:w="881" w:type="dxa"/>
            <w:tcBorders>
              <w:top w:val="nil"/>
              <w:left w:val="nil"/>
              <w:bottom w:val="single" w:sz="4" w:space="0" w:color="auto"/>
              <w:right w:val="nil"/>
            </w:tcBorders>
            <w:shd w:val="clear" w:color="auto" w:fill="auto"/>
            <w:noWrap/>
            <w:vAlign w:val="bottom"/>
            <w:hideMark/>
          </w:tcPr>
          <w:p w14:paraId="3DF531F6" w14:textId="77777777" w:rsidR="002E198C" w:rsidRPr="002E198C" w:rsidRDefault="002E198C" w:rsidP="002E198C">
            <w:pPr>
              <w:jc w:val="center"/>
              <w:rPr>
                <w:b/>
                <w:color w:val="000000"/>
                <w:sz w:val="22"/>
                <w:szCs w:val="22"/>
              </w:rPr>
            </w:pPr>
            <w:r w:rsidRPr="002E198C">
              <w:rPr>
                <w:b/>
                <w:color w:val="000000"/>
                <w:sz w:val="22"/>
                <w:szCs w:val="22"/>
              </w:rPr>
              <w:t>Cost Rate</w:t>
            </w:r>
          </w:p>
        </w:tc>
        <w:tc>
          <w:tcPr>
            <w:tcW w:w="1043" w:type="dxa"/>
            <w:tcBorders>
              <w:top w:val="nil"/>
              <w:left w:val="nil"/>
              <w:bottom w:val="single" w:sz="4" w:space="0" w:color="auto"/>
              <w:right w:val="nil"/>
            </w:tcBorders>
            <w:shd w:val="clear" w:color="auto" w:fill="auto"/>
            <w:noWrap/>
            <w:vAlign w:val="bottom"/>
            <w:hideMark/>
          </w:tcPr>
          <w:p w14:paraId="028A6DBB" w14:textId="77777777" w:rsidR="002E198C" w:rsidRPr="002E198C" w:rsidRDefault="002E198C" w:rsidP="002E198C">
            <w:pPr>
              <w:jc w:val="center"/>
              <w:rPr>
                <w:b/>
                <w:color w:val="000000"/>
                <w:sz w:val="22"/>
                <w:szCs w:val="22"/>
              </w:rPr>
            </w:pPr>
            <w:r w:rsidRPr="002E198C">
              <w:rPr>
                <w:b/>
                <w:color w:val="000000"/>
                <w:sz w:val="22"/>
                <w:szCs w:val="22"/>
              </w:rPr>
              <w:t>Cost Rate</w:t>
            </w:r>
          </w:p>
        </w:tc>
        <w:tc>
          <w:tcPr>
            <w:tcW w:w="0" w:type="auto"/>
            <w:tcBorders>
              <w:top w:val="nil"/>
              <w:left w:val="nil"/>
              <w:bottom w:val="single" w:sz="4" w:space="0" w:color="auto"/>
              <w:right w:val="single" w:sz="4" w:space="0" w:color="auto"/>
            </w:tcBorders>
            <w:shd w:val="clear" w:color="auto" w:fill="auto"/>
            <w:noWrap/>
            <w:vAlign w:val="bottom"/>
            <w:hideMark/>
          </w:tcPr>
          <w:p w14:paraId="13A05DBA"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5909E520"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306C52CF"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46B1A691" w14:textId="77777777" w:rsidR="002E198C" w:rsidRPr="002E198C" w:rsidRDefault="002E198C" w:rsidP="002E198C">
            <w:pPr>
              <w:rPr>
                <w:color w:val="000000"/>
                <w:sz w:val="22"/>
                <w:szCs w:val="22"/>
              </w:rPr>
            </w:pPr>
            <w:r w:rsidRPr="002E198C">
              <w:rPr>
                <w:color w:val="000000"/>
                <w:sz w:val="22"/>
                <w:szCs w:val="22"/>
              </w:rPr>
              <w:t>Long-Term Debt</w:t>
            </w:r>
          </w:p>
        </w:tc>
        <w:tc>
          <w:tcPr>
            <w:tcW w:w="0" w:type="auto"/>
            <w:tcBorders>
              <w:top w:val="nil"/>
              <w:left w:val="nil"/>
              <w:bottom w:val="nil"/>
              <w:right w:val="nil"/>
            </w:tcBorders>
            <w:shd w:val="clear" w:color="auto" w:fill="auto"/>
            <w:noWrap/>
            <w:vAlign w:val="bottom"/>
            <w:hideMark/>
          </w:tcPr>
          <w:p w14:paraId="284FDA93" w14:textId="77777777" w:rsidR="002E198C" w:rsidRPr="002E198C" w:rsidRDefault="002E198C" w:rsidP="002E198C">
            <w:pPr>
              <w:jc w:val="right"/>
              <w:rPr>
                <w:color w:val="000000"/>
                <w:sz w:val="22"/>
                <w:szCs w:val="22"/>
              </w:rPr>
            </w:pPr>
            <w:r w:rsidRPr="002E198C">
              <w:rPr>
                <w:color w:val="000000"/>
                <w:sz w:val="22"/>
                <w:szCs w:val="22"/>
              </w:rPr>
              <w:t>$23,101,485</w:t>
            </w:r>
          </w:p>
        </w:tc>
        <w:tc>
          <w:tcPr>
            <w:tcW w:w="0" w:type="auto"/>
            <w:tcBorders>
              <w:top w:val="nil"/>
              <w:left w:val="nil"/>
              <w:bottom w:val="nil"/>
              <w:right w:val="nil"/>
            </w:tcBorders>
            <w:shd w:val="clear" w:color="auto" w:fill="auto"/>
            <w:noWrap/>
            <w:vAlign w:val="bottom"/>
            <w:hideMark/>
          </w:tcPr>
          <w:p w14:paraId="1A810156" w14:textId="77777777" w:rsidR="002E198C" w:rsidRPr="002E198C" w:rsidRDefault="002E198C" w:rsidP="002E198C">
            <w:pPr>
              <w:jc w:val="right"/>
              <w:rPr>
                <w:color w:val="000000"/>
                <w:sz w:val="22"/>
                <w:szCs w:val="22"/>
              </w:rPr>
            </w:pPr>
            <w:r w:rsidRPr="002E198C">
              <w:rPr>
                <w:color w:val="000000"/>
                <w:sz w:val="22"/>
                <w:szCs w:val="22"/>
              </w:rPr>
              <w:t>4.19%</w:t>
            </w:r>
          </w:p>
        </w:tc>
        <w:tc>
          <w:tcPr>
            <w:tcW w:w="881" w:type="dxa"/>
            <w:tcBorders>
              <w:top w:val="nil"/>
              <w:left w:val="nil"/>
              <w:bottom w:val="nil"/>
              <w:right w:val="nil"/>
            </w:tcBorders>
            <w:shd w:val="clear" w:color="auto" w:fill="auto"/>
            <w:noWrap/>
            <w:vAlign w:val="bottom"/>
          </w:tcPr>
          <w:p w14:paraId="621D021A" w14:textId="77777777" w:rsidR="002E198C" w:rsidRPr="002E198C" w:rsidRDefault="002E198C" w:rsidP="002E198C">
            <w:pPr>
              <w:jc w:val="right"/>
              <w:rPr>
                <w:color w:val="000000"/>
                <w:sz w:val="22"/>
                <w:szCs w:val="22"/>
              </w:rPr>
            </w:pPr>
            <w:r w:rsidRPr="002E198C">
              <w:rPr>
                <w:color w:val="000000"/>
                <w:sz w:val="22"/>
                <w:szCs w:val="22"/>
              </w:rPr>
              <w:t>4.47%</w:t>
            </w:r>
          </w:p>
        </w:tc>
        <w:tc>
          <w:tcPr>
            <w:tcW w:w="1043" w:type="dxa"/>
            <w:tcBorders>
              <w:top w:val="nil"/>
              <w:left w:val="nil"/>
              <w:bottom w:val="nil"/>
              <w:right w:val="nil"/>
            </w:tcBorders>
            <w:shd w:val="clear" w:color="auto" w:fill="auto"/>
            <w:noWrap/>
            <w:vAlign w:val="bottom"/>
            <w:hideMark/>
          </w:tcPr>
          <w:p w14:paraId="0DE692B0" w14:textId="77777777" w:rsidR="002E198C" w:rsidRPr="002E198C" w:rsidRDefault="002E198C" w:rsidP="002E198C">
            <w:pPr>
              <w:jc w:val="right"/>
              <w:rPr>
                <w:color w:val="000000"/>
                <w:sz w:val="22"/>
                <w:szCs w:val="22"/>
              </w:rPr>
            </w:pPr>
            <w:r w:rsidRPr="002E198C">
              <w:rPr>
                <w:color w:val="000000"/>
                <w:sz w:val="22"/>
                <w:szCs w:val="22"/>
              </w:rPr>
              <w:t>0.19%</w:t>
            </w:r>
          </w:p>
        </w:tc>
        <w:tc>
          <w:tcPr>
            <w:tcW w:w="0" w:type="auto"/>
            <w:tcBorders>
              <w:top w:val="nil"/>
              <w:left w:val="nil"/>
              <w:bottom w:val="nil"/>
              <w:right w:val="single" w:sz="4" w:space="0" w:color="auto"/>
            </w:tcBorders>
            <w:shd w:val="clear" w:color="auto" w:fill="auto"/>
            <w:noWrap/>
            <w:vAlign w:val="bottom"/>
            <w:hideMark/>
          </w:tcPr>
          <w:p w14:paraId="61962B59"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6FB52190"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tcPr>
          <w:p w14:paraId="6BA7D6C3" w14:textId="77777777" w:rsidR="002E198C" w:rsidRPr="002E198C" w:rsidRDefault="002E198C" w:rsidP="002E198C">
            <w:pPr>
              <w:rPr>
                <w:rFonts w:ascii="Calibri" w:hAnsi="Calibri"/>
                <w:color w:val="000000"/>
                <w:sz w:val="22"/>
                <w:szCs w:val="22"/>
              </w:rPr>
            </w:pPr>
          </w:p>
        </w:tc>
        <w:tc>
          <w:tcPr>
            <w:tcW w:w="0" w:type="auto"/>
            <w:tcBorders>
              <w:top w:val="nil"/>
              <w:left w:val="nil"/>
              <w:bottom w:val="nil"/>
              <w:right w:val="nil"/>
            </w:tcBorders>
            <w:shd w:val="clear" w:color="auto" w:fill="auto"/>
            <w:noWrap/>
            <w:vAlign w:val="bottom"/>
          </w:tcPr>
          <w:p w14:paraId="20E6E463" w14:textId="77777777" w:rsidR="002E198C" w:rsidRPr="002E198C" w:rsidRDefault="002E198C" w:rsidP="002E198C">
            <w:pPr>
              <w:rPr>
                <w:color w:val="000000"/>
                <w:sz w:val="22"/>
                <w:szCs w:val="22"/>
              </w:rPr>
            </w:pPr>
            <w:r w:rsidRPr="002E198C">
              <w:rPr>
                <w:color w:val="000000"/>
                <w:sz w:val="22"/>
                <w:szCs w:val="22"/>
              </w:rPr>
              <w:t>Long-Term Debt – FCG Direct</w:t>
            </w:r>
          </w:p>
        </w:tc>
        <w:tc>
          <w:tcPr>
            <w:tcW w:w="0" w:type="auto"/>
            <w:tcBorders>
              <w:top w:val="nil"/>
              <w:left w:val="nil"/>
              <w:bottom w:val="nil"/>
              <w:right w:val="nil"/>
            </w:tcBorders>
            <w:shd w:val="clear" w:color="auto" w:fill="auto"/>
            <w:noWrap/>
            <w:vAlign w:val="bottom"/>
          </w:tcPr>
          <w:p w14:paraId="54D47305" w14:textId="77777777" w:rsidR="002E198C" w:rsidRPr="002E198C" w:rsidRDefault="002E198C" w:rsidP="002E198C">
            <w:pPr>
              <w:jc w:val="right"/>
              <w:rPr>
                <w:color w:val="000000"/>
                <w:sz w:val="22"/>
                <w:szCs w:val="22"/>
              </w:rPr>
            </w:pPr>
            <w:r w:rsidRPr="002E198C">
              <w:rPr>
                <w:color w:val="000000"/>
                <w:sz w:val="22"/>
                <w:szCs w:val="22"/>
              </w:rPr>
              <w:t>216,511,807</w:t>
            </w:r>
          </w:p>
        </w:tc>
        <w:tc>
          <w:tcPr>
            <w:tcW w:w="0" w:type="auto"/>
            <w:tcBorders>
              <w:top w:val="nil"/>
              <w:left w:val="nil"/>
              <w:bottom w:val="nil"/>
              <w:right w:val="nil"/>
            </w:tcBorders>
            <w:shd w:val="clear" w:color="auto" w:fill="auto"/>
            <w:noWrap/>
            <w:vAlign w:val="bottom"/>
          </w:tcPr>
          <w:p w14:paraId="754D6479" w14:textId="77777777" w:rsidR="002E198C" w:rsidRPr="002E198C" w:rsidRDefault="002E198C" w:rsidP="002E198C">
            <w:pPr>
              <w:jc w:val="right"/>
              <w:rPr>
                <w:color w:val="000000"/>
                <w:sz w:val="22"/>
                <w:szCs w:val="22"/>
              </w:rPr>
            </w:pPr>
            <w:r w:rsidRPr="002E198C">
              <w:rPr>
                <w:color w:val="000000"/>
                <w:sz w:val="22"/>
                <w:szCs w:val="22"/>
              </w:rPr>
              <w:t>39.24%</w:t>
            </w:r>
          </w:p>
        </w:tc>
        <w:tc>
          <w:tcPr>
            <w:tcW w:w="881" w:type="dxa"/>
            <w:tcBorders>
              <w:top w:val="nil"/>
              <w:left w:val="nil"/>
              <w:bottom w:val="nil"/>
              <w:right w:val="nil"/>
            </w:tcBorders>
            <w:shd w:val="clear" w:color="auto" w:fill="auto"/>
            <w:noWrap/>
            <w:vAlign w:val="bottom"/>
          </w:tcPr>
          <w:p w14:paraId="3514781C" w14:textId="77777777" w:rsidR="002E198C" w:rsidRPr="002E198C" w:rsidRDefault="002E198C" w:rsidP="002E198C">
            <w:pPr>
              <w:jc w:val="right"/>
              <w:rPr>
                <w:color w:val="000000"/>
                <w:sz w:val="22"/>
                <w:szCs w:val="22"/>
              </w:rPr>
            </w:pPr>
            <w:r w:rsidRPr="002E198C">
              <w:rPr>
                <w:color w:val="000000"/>
                <w:sz w:val="22"/>
                <w:szCs w:val="22"/>
              </w:rPr>
              <w:t>6.67%</w:t>
            </w:r>
          </w:p>
        </w:tc>
        <w:tc>
          <w:tcPr>
            <w:tcW w:w="1043" w:type="dxa"/>
            <w:tcBorders>
              <w:top w:val="nil"/>
              <w:left w:val="nil"/>
              <w:bottom w:val="nil"/>
              <w:right w:val="nil"/>
            </w:tcBorders>
            <w:shd w:val="clear" w:color="auto" w:fill="auto"/>
            <w:noWrap/>
            <w:vAlign w:val="bottom"/>
          </w:tcPr>
          <w:p w14:paraId="6D509147" w14:textId="77777777" w:rsidR="002E198C" w:rsidRPr="002E198C" w:rsidRDefault="002E198C" w:rsidP="002E198C">
            <w:pPr>
              <w:jc w:val="right"/>
              <w:rPr>
                <w:color w:val="000000"/>
                <w:sz w:val="22"/>
                <w:szCs w:val="22"/>
              </w:rPr>
            </w:pPr>
            <w:r w:rsidRPr="002E198C">
              <w:rPr>
                <w:color w:val="000000"/>
                <w:sz w:val="22"/>
                <w:szCs w:val="22"/>
              </w:rPr>
              <w:t>2.62%</w:t>
            </w:r>
          </w:p>
        </w:tc>
        <w:tc>
          <w:tcPr>
            <w:tcW w:w="0" w:type="auto"/>
            <w:tcBorders>
              <w:top w:val="nil"/>
              <w:left w:val="nil"/>
              <w:bottom w:val="nil"/>
              <w:right w:val="single" w:sz="4" w:space="0" w:color="auto"/>
            </w:tcBorders>
            <w:shd w:val="clear" w:color="auto" w:fill="auto"/>
            <w:noWrap/>
            <w:vAlign w:val="bottom"/>
          </w:tcPr>
          <w:p w14:paraId="46E23918" w14:textId="77777777" w:rsidR="002E198C" w:rsidRPr="002E198C" w:rsidRDefault="002E198C" w:rsidP="002E198C">
            <w:pPr>
              <w:rPr>
                <w:rFonts w:ascii="Calibri" w:hAnsi="Calibri"/>
                <w:color w:val="000000"/>
                <w:sz w:val="22"/>
                <w:szCs w:val="22"/>
              </w:rPr>
            </w:pPr>
          </w:p>
        </w:tc>
      </w:tr>
      <w:tr w:rsidR="002E198C" w:rsidRPr="002E198C" w14:paraId="7331FDD6"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12D574F8"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21F5180D" w14:textId="77777777" w:rsidR="002E198C" w:rsidRPr="002E198C" w:rsidRDefault="002E198C" w:rsidP="002E198C">
            <w:pPr>
              <w:rPr>
                <w:color w:val="000000"/>
                <w:sz w:val="22"/>
                <w:szCs w:val="22"/>
              </w:rPr>
            </w:pPr>
            <w:r w:rsidRPr="002E198C">
              <w:rPr>
                <w:color w:val="000000"/>
                <w:sz w:val="22"/>
                <w:szCs w:val="22"/>
              </w:rPr>
              <w:t>Short-Term Debt</w:t>
            </w:r>
          </w:p>
        </w:tc>
        <w:tc>
          <w:tcPr>
            <w:tcW w:w="0" w:type="auto"/>
            <w:tcBorders>
              <w:top w:val="nil"/>
              <w:left w:val="nil"/>
              <w:bottom w:val="nil"/>
              <w:right w:val="nil"/>
            </w:tcBorders>
            <w:shd w:val="clear" w:color="auto" w:fill="auto"/>
            <w:noWrap/>
            <w:vAlign w:val="bottom"/>
            <w:hideMark/>
          </w:tcPr>
          <w:p w14:paraId="52A868EA" w14:textId="77777777" w:rsidR="002E198C" w:rsidRPr="002E198C" w:rsidRDefault="002E198C" w:rsidP="002E198C">
            <w:pPr>
              <w:jc w:val="right"/>
              <w:rPr>
                <w:color w:val="000000"/>
                <w:sz w:val="22"/>
                <w:szCs w:val="22"/>
              </w:rPr>
            </w:pPr>
            <w:r w:rsidRPr="002E198C">
              <w:rPr>
                <w:color w:val="000000"/>
                <w:sz w:val="22"/>
                <w:szCs w:val="22"/>
              </w:rPr>
              <w:t>25,920,670</w:t>
            </w:r>
          </w:p>
        </w:tc>
        <w:tc>
          <w:tcPr>
            <w:tcW w:w="0" w:type="auto"/>
            <w:tcBorders>
              <w:top w:val="nil"/>
              <w:left w:val="nil"/>
              <w:bottom w:val="nil"/>
              <w:right w:val="nil"/>
            </w:tcBorders>
            <w:shd w:val="clear" w:color="auto" w:fill="auto"/>
            <w:noWrap/>
            <w:vAlign w:val="bottom"/>
            <w:hideMark/>
          </w:tcPr>
          <w:p w14:paraId="21CDA9B5" w14:textId="77777777" w:rsidR="002E198C" w:rsidRPr="002E198C" w:rsidRDefault="002E198C" w:rsidP="002E198C">
            <w:pPr>
              <w:jc w:val="right"/>
              <w:rPr>
                <w:color w:val="000000"/>
                <w:sz w:val="22"/>
                <w:szCs w:val="22"/>
              </w:rPr>
            </w:pPr>
            <w:r w:rsidRPr="002E198C">
              <w:rPr>
                <w:color w:val="000000"/>
                <w:sz w:val="22"/>
                <w:szCs w:val="22"/>
              </w:rPr>
              <w:t>4.70%</w:t>
            </w:r>
          </w:p>
        </w:tc>
        <w:tc>
          <w:tcPr>
            <w:tcW w:w="881" w:type="dxa"/>
            <w:tcBorders>
              <w:top w:val="nil"/>
              <w:left w:val="nil"/>
              <w:bottom w:val="nil"/>
              <w:right w:val="nil"/>
            </w:tcBorders>
            <w:shd w:val="clear" w:color="auto" w:fill="auto"/>
            <w:noWrap/>
            <w:vAlign w:val="bottom"/>
          </w:tcPr>
          <w:p w14:paraId="69F45048" w14:textId="77777777" w:rsidR="002E198C" w:rsidRPr="002E198C" w:rsidRDefault="002E198C" w:rsidP="002E198C">
            <w:pPr>
              <w:jc w:val="right"/>
              <w:rPr>
                <w:color w:val="000000"/>
                <w:sz w:val="22"/>
                <w:szCs w:val="22"/>
              </w:rPr>
            </w:pPr>
            <w:r w:rsidRPr="002E198C">
              <w:rPr>
                <w:color w:val="000000"/>
                <w:sz w:val="22"/>
                <w:szCs w:val="22"/>
              </w:rPr>
              <w:t>5.97%</w:t>
            </w:r>
          </w:p>
        </w:tc>
        <w:tc>
          <w:tcPr>
            <w:tcW w:w="1043" w:type="dxa"/>
            <w:tcBorders>
              <w:top w:val="nil"/>
              <w:left w:val="nil"/>
              <w:bottom w:val="nil"/>
              <w:right w:val="nil"/>
            </w:tcBorders>
            <w:shd w:val="clear" w:color="auto" w:fill="auto"/>
            <w:noWrap/>
            <w:vAlign w:val="bottom"/>
            <w:hideMark/>
          </w:tcPr>
          <w:p w14:paraId="5CB8B797" w14:textId="77777777" w:rsidR="002E198C" w:rsidRPr="002E198C" w:rsidRDefault="002E198C" w:rsidP="002E198C">
            <w:pPr>
              <w:jc w:val="right"/>
              <w:rPr>
                <w:color w:val="000000"/>
                <w:sz w:val="22"/>
                <w:szCs w:val="22"/>
              </w:rPr>
            </w:pPr>
            <w:r w:rsidRPr="002E198C">
              <w:rPr>
                <w:color w:val="000000"/>
                <w:sz w:val="22"/>
                <w:szCs w:val="22"/>
              </w:rPr>
              <w:t>0.28%</w:t>
            </w:r>
          </w:p>
        </w:tc>
        <w:tc>
          <w:tcPr>
            <w:tcW w:w="0" w:type="auto"/>
            <w:tcBorders>
              <w:top w:val="nil"/>
              <w:left w:val="nil"/>
              <w:bottom w:val="nil"/>
              <w:right w:val="single" w:sz="4" w:space="0" w:color="auto"/>
            </w:tcBorders>
            <w:shd w:val="clear" w:color="auto" w:fill="auto"/>
            <w:noWrap/>
            <w:vAlign w:val="bottom"/>
            <w:hideMark/>
          </w:tcPr>
          <w:p w14:paraId="3568091A"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77B9D827"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5FE40150"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49133C98" w14:textId="77777777" w:rsidR="002E198C" w:rsidRPr="002E198C" w:rsidRDefault="002E198C" w:rsidP="002E198C">
            <w:pPr>
              <w:rPr>
                <w:color w:val="000000"/>
                <w:sz w:val="22"/>
                <w:szCs w:val="22"/>
              </w:rPr>
            </w:pPr>
            <w:r w:rsidRPr="002E198C">
              <w:rPr>
                <w:color w:val="000000"/>
                <w:sz w:val="22"/>
                <w:szCs w:val="22"/>
              </w:rPr>
              <w:t>Customer Deposits</w:t>
            </w:r>
          </w:p>
        </w:tc>
        <w:tc>
          <w:tcPr>
            <w:tcW w:w="0" w:type="auto"/>
            <w:tcBorders>
              <w:top w:val="nil"/>
              <w:left w:val="nil"/>
              <w:bottom w:val="nil"/>
              <w:right w:val="nil"/>
            </w:tcBorders>
            <w:shd w:val="clear" w:color="auto" w:fill="auto"/>
            <w:noWrap/>
            <w:vAlign w:val="bottom"/>
            <w:hideMark/>
          </w:tcPr>
          <w:p w14:paraId="02086798" w14:textId="77777777" w:rsidR="002E198C" w:rsidRPr="002E198C" w:rsidRDefault="002E198C" w:rsidP="002E198C">
            <w:pPr>
              <w:jc w:val="right"/>
              <w:rPr>
                <w:color w:val="000000"/>
                <w:sz w:val="22"/>
                <w:szCs w:val="22"/>
              </w:rPr>
            </w:pPr>
            <w:r w:rsidRPr="002E198C">
              <w:rPr>
                <w:color w:val="000000"/>
                <w:sz w:val="22"/>
                <w:szCs w:val="22"/>
              </w:rPr>
              <w:t>4,323,538</w:t>
            </w:r>
          </w:p>
        </w:tc>
        <w:tc>
          <w:tcPr>
            <w:tcW w:w="0" w:type="auto"/>
            <w:tcBorders>
              <w:top w:val="nil"/>
              <w:left w:val="nil"/>
              <w:bottom w:val="nil"/>
              <w:right w:val="nil"/>
            </w:tcBorders>
            <w:shd w:val="clear" w:color="auto" w:fill="auto"/>
            <w:noWrap/>
            <w:vAlign w:val="bottom"/>
            <w:hideMark/>
          </w:tcPr>
          <w:p w14:paraId="177AD391" w14:textId="77777777" w:rsidR="002E198C" w:rsidRPr="002E198C" w:rsidRDefault="002E198C" w:rsidP="002E198C">
            <w:pPr>
              <w:jc w:val="right"/>
              <w:rPr>
                <w:color w:val="000000"/>
                <w:sz w:val="22"/>
                <w:szCs w:val="22"/>
              </w:rPr>
            </w:pPr>
            <w:r w:rsidRPr="002E198C">
              <w:rPr>
                <w:color w:val="000000"/>
                <w:sz w:val="22"/>
                <w:szCs w:val="22"/>
              </w:rPr>
              <w:t>0.78%</w:t>
            </w:r>
          </w:p>
        </w:tc>
        <w:tc>
          <w:tcPr>
            <w:tcW w:w="881" w:type="dxa"/>
            <w:tcBorders>
              <w:top w:val="nil"/>
              <w:left w:val="nil"/>
              <w:bottom w:val="nil"/>
              <w:right w:val="nil"/>
            </w:tcBorders>
            <w:shd w:val="clear" w:color="auto" w:fill="auto"/>
            <w:noWrap/>
            <w:vAlign w:val="bottom"/>
            <w:hideMark/>
          </w:tcPr>
          <w:p w14:paraId="5E130EA2" w14:textId="77777777" w:rsidR="002E198C" w:rsidRPr="002E198C" w:rsidRDefault="002E198C" w:rsidP="002E198C">
            <w:pPr>
              <w:jc w:val="right"/>
              <w:rPr>
                <w:color w:val="000000"/>
                <w:sz w:val="22"/>
                <w:szCs w:val="22"/>
              </w:rPr>
            </w:pPr>
            <w:r w:rsidRPr="002E198C">
              <w:rPr>
                <w:color w:val="000000"/>
                <w:sz w:val="22"/>
                <w:szCs w:val="22"/>
              </w:rPr>
              <w:t>2.34%</w:t>
            </w:r>
          </w:p>
        </w:tc>
        <w:tc>
          <w:tcPr>
            <w:tcW w:w="1043" w:type="dxa"/>
            <w:tcBorders>
              <w:top w:val="nil"/>
              <w:left w:val="nil"/>
              <w:bottom w:val="nil"/>
              <w:right w:val="nil"/>
            </w:tcBorders>
            <w:shd w:val="clear" w:color="auto" w:fill="auto"/>
            <w:noWrap/>
            <w:vAlign w:val="bottom"/>
            <w:hideMark/>
          </w:tcPr>
          <w:p w14:paraId="1C254D19" w14:textId="77777777" w:rsidR="002E198C" w:rsidRPr="002E198C" w:rsidRDefault="002E198C" w:rsidP="002E198C">
            <w:pPr>
              <w:jc w:val="right"/>
              <w:rPr>
                <w:color w:val="000000"/>
                <w:sz w:val="22"/>
                <w:szCs w:val="22"/>
              </w:rPr>
            </w:pPr>
            <w:r w:rsidRPr="002E198C">
              <w:rPr>
                <w:color w:val="000000"/>
                <w:sz w:val="22"/>
                <w:szCs w:val="22"/>
              </w:rPr>
              <w:t>0.02%</w:t>
            </w:r>
          </w:p>
        </w:tc>
        <w:tc>
          <w:tcPr>
            <w:tcW w:w="0" w:type="auto"/>
            <w:tcBorders>
              <w:top w:val="nil"/>
              <w:left w:val="nil"/>
              <w:bottom w:val="nil"/>
              <w:right w:val="single" w:sz="4" w:space="0" w:color="auto"/>
            </w:tcBorders>
            <w:shd w:val="clear" w:color="auto" w:fill="auto"/>
            <w:noWrap/>
            <w:vAlign w:val="bottom"/>
            <w:hideMark/>
          </w:tcPr>
          <w:p w14:paraId="5E0B6F4D"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0242C1B5"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2FA641B0"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1832B79C" w14:textId="77777777" w:rsidR="002E198C" w:rsidRPr="002E198C" w:rsidRDefault="002E198C" w:rsidP="002E198C">
            <w:pPr>
              <w:rPr>
                <w:color w:val="000000"/>
                <w:sz w:val="22"/>
                <w:szCs w:val="22"/>
              </w:rPr>
            </w:pPr>
            <w:r w:rsidRPr="002E198C">
              <w:rPr>
                <w:color w:val="000000"/>
                <w:sz w:val="22"/>
                <w:szCs w:val="22"/>
              </w:rPr>
              <w:t>Common Equity</w:t>
            </w:r>
          </w:p>
        </w:tc>
        <w:tc>
          <w:tcPr>
            <w:tcW w:w="0" w:type="auto"/>
            <w:tcBorders>
              <w:top w:val="nil"/>
              <w:left w:val="nil"/>
              <w:bottom w:val="nil"/>
              <w:right w:val="nil"/>
            </w:tcBorders>
            <w:shd w:val="clear" w:color="auto" w:fill="auto"/>
            <w:noWrap/>
            <w:vAlign w:val="bottom"/>
            <w:hideMark/>
          </w:tcPr>
          <w:p w14:paraId="6CBA97C3" w14:textId="77777777" w:rsidR="002E198C" w:rsidRPr="002E198C" w:rsidRDefault="002E198C" w:rsidP="002E198C">
            <w:pPr>
              <w:jc w:val="right"/>
              <w:rPr>
                <w:color w:val="000000"/>
                <w:sz w:val="22"/>
                <w:szCs w:val="22"/>
              </w:rPr>
            </w:pPr>
            <w:r w:rsidRPr="002E198C">
              <w:rPr>
                <w:color w:val="000000"/>
                <w:sz w:val="22"/>
                <w:szCs w:val="22"/>
              </w:rPr>
              <w:t xml:space="preserve">263,609,716 </w:t>
            </w:r>
          </w:p>
        </w:tc>
        <w:tc>
          <w:tcPr>
            <w:tcW w:w="0" w:type="auto"/>
            <w:tcBorders>
              <w:top w:val="nil"/>
              <w:left w:val="nil"/>
              <w:bottom w:val="nil"/>
              <w:right w:val="nil"/>
            </w:tcBorders>
            <w:shd w:val="clear" w:color="auto" w:fill="auto"/>
            <w:noWrap/>
            <w:vAlign w:val="bottom"/>
            <w:hideMark/>
          </w:tcPr>
          <w:p w14:paraId="4D5D079B" w14:textId="77777777" w:rsidR="002E198C" w:rsidRPr="002E198C" w:rsidRDefault="002E198C" w:rsidP="002E198C">
            <w:pPr>
              <w:jc w:val="right"/>
              <w:rPr>
                <w:color w:val="000000"/>
                <w:sz w:val="22"/>
                <w:szCs w:val="22"/>
              </w:rPr>
            </w:pPr>
            <w:r w:rsidRPr="002E198C">
              <w:rPr>
                <w:color w:val="000000"/>
                <w:sz w:val="22"/>
                <w:szCs w:val="22"/>
              </w:rPr>
              <w:t>47.77%</w:t>
            </w:r>
          </w:p>
        </w:tc>
        <w:tc>
          <w:tcPr>
            <w:tcW w:w="881" w:type="dxa"/>
            <w:tcBorders>
              <w:top w:val="nil"/>
              <w:left w:val="nil"/>
              <w:bottom w:val="nil"/>
              <w:right w:val="nil"/>
            </w:tcBorders>
            <w:shd w:val="clear" w:color="auto" w:fill="auto"/>
            <w:noWrap/>
            <w:vAlign w:val="bottom"/>
            <w:hideMark/>
          </w:tcPr>
          <w:p w14:paraId="04F99137" w14:textId="77777777" w:rsidR="002E198C" w:rsidRPr="002E198C" w:rsidRDefault="002E198C" w:rsidP="002E198C">
            <w:pPr>
              <w:jc w:val="right"/>
              <w:rPr>
                <w:color w:val="000000"/>
                <w:sz w:val="22"/>
                <w:szCs w:val="22"/>
              </w:rPr>
            </w:pPr>
            <w:r w:rsidRPr="002E198C">
              <w:rPr>
                <w:color w:val="000000"/>
                <w:sz w:val="22"/>
                <w:szCs w:val="22"/>
              </w:rPr>
              <w:t>8.50%</w:t>
            </w:r>
          </w:p>
        </w:tc>
        <w:tc>
          <w:tcPr>
            <w:tcW w:w="1043" w:type="dxa"/>
            <w:tcBorders>
              <w:top w:val="nil"/>
              <w:left w:val="nil"/>
              <w:bottom w:val="nil"/>
              <w:right w:val="nil"/>
            </w:tcBorders>
            <w:shd w:val="clear" w:color="auto" w:fill="auto"/>
            <w:noWrap/>
            <w:vAlign w:val="bottom"/>
            <w:hideMark/>
          </w:tcPr>
          <w:p w14:paraId="75449E87" w14:textId="77777777" w:rsidR="002E198C" w:rsidRPr="002E198C" w:rsidRDefault="002E198C" w:rsidP="002E198C">
            <w:pPr>
              <w:jc w:val="right"/>
              <w:rPr>
                <w:color w:val="000000"/>
                <w:sz w:val="22"/>
                <w:szCs w:val="22"/>
              </w:rPr>
            </w:pPr>
            <w:r w:rsidRPr="002E198C">
              <w:rPr>
                <w:color w:val="000000"/>
                <w:sz w:val="22"/>
                <w:szCs w:val="22"/>
              </w:rPr>
              <w:t>4.06%</w:t>
            </w:r>
          </w:p>
        </w:tc>
        <w:tc>
          <w:tcPr>
            <w:tcW w:w="0" w:type="auto"/>
            <w:tcBorders>
              <w:top w:val="nil"/>
              <w:left w:val="nil"/>
              <w:bottom w:val="nil"/>
              <w:right w:val="single" w:sz="4" w:space="0" w:color="auto"/>
            </w:tcBorders>
            <w:shd w:val="clear" w:color="auto" w:fill="auto"/>
            <w:noWrap/>
            <w:vAlign w:val="bottom"/>
            <w:hideMark/>
          </w:tcPr>
          <w:p w14:paraId="6482A00B"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460C5DED"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560DEBF5"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6F22007A" w14:textId="77777777" w:rsidR="002E198C" w:rsidRPr="002E198C" w:rsidRDefault="002E198C" w:rsidP="002E198C">
            <w:pPr>
              <w:rPr>
                <w:color w:val="000000"/>
                <w:sz w:val="22"/>
                <w:szCs w:val="22"/>
              </w:rPr>
            </w:pPr>
            <w:r w:rsidRPr="002E198C">
              <w:rPr>
                <w:color w:val="000000"/>
                <w:sz w:val="22"/>
                <w:szCs w:val="22"/>
              </w:rPr>
              <w:t>Deferred Income Taxes</w:t>
            </w:r>
          </w:p>
        </w:tc>
        <w:tc>
          <w:tcPr>
            <w:tcW w:w="0" w:type="auto"/>
            <w:tcBorders>
              <w:top w:val="nil"/>
              <w:left w:val="nil"/>
              <w:right w:val="nil"/>
            </w:tcBorders>
            <w:shd w:val="clear" w:color="auto" w:fill="auto"/>
            <w:noWrap/>
            <w:vAlign w:val="bottom"/>
            <w:hideMark/>
          </w:tcPr>
          <w:p w14:paraId="06793D70" w14:textId="77777777" w:rsidR="002E198C" w:rsidRPr="002E198C" w:rsidRDefault="002E198C" w:rsidP="002E198C">
            <w:pPr>
              <w:jc w:val="right"/>
              <w:rPr>
                <w:color w:val="000000"/>
                <w:sz w:val="22"/>
                <w:szCs w:val="22"/>
              </w:rPr>
            </w:pPr>
            <w:r w:rsidRPr="002E198C">
              <w:rPr>
                <w:color w:val="000000"/>
                <w:sz w:val="22"/>
                <w:szCs w:val="22"/>
              </w:rPr>
              <w:t>10,304,257</w:t>
            </w:r>
          </w:p>
        </w:tc>
        <w:tc>
          <w:tcPr>
            <w:tcW w:w="0" w:type="auto"/>
            <w:tcBorders>
              <w:top w:val="nil"/>
              <w:left w:val="nil"/>
              <w:right w:val="nil"/>
            </w:tcBorders>
            <w:shd w:val="clear" w:color="auto" w:fill="auto"/>
            <w:noWrap/>
            <w:vAlign w:val="bottom"/>
            <w:hideMark/>
          </w:tcPr>
          <w:p w14:paraId="7436A190" w14:textId="77777777" w:rsidR="002E198C" w:rsidRPr="002E198C" w:rsidRDefault="002E198C" w:rsidP="002E198C">
            <w:pPr>
              <w:jc w:val="right"/>
              <w:rPr>
                <w:color w:val="000000"/>
                <w:sz w:val="22"/>
                <w:szCs w:val="22"/>
              </w:rPr>
            </w:pPr>
            <w:r w:rsidRPr="002E198C">
              <w:rPr>
                <w:color w:val="000000"/>
                <w:sz w:val="22"/>
                <w:szCs w:val="22"/>
              </w:rPr>
              <w:t>1.87%</w:t>
            </w:r>
          </w:p>
        </w:tc>
        <w:tc>
          <w:tcPr>
            <w:tcW w:w="881" w:type="dxa"/>
            <w:tcBorders>
              <w:top w:val="nil"/>
              <w:left w:val="nil"/>
              <w:right w:val="nil"/>
            </w:tcBorders>
            <w:shd w:val="clear" w:color="auto" w:fill="auto"/>
            <w:noWrap/>
            <w:vAlign w:val="bottom"/>
            <w:hideMark/>
          </w:tcPr>
          <w:p w14:paraId="6EE11423" w14:textId="77777777" w:rsidR="002E198C" w:rsidRPr="002E198C" w:rsidRDefault="002E198C" w:rsidP="002E198C">
            <w:pPr>
              <w:jc w:val="right"/>
              <w:rPr>
                <w:color w:val="000000"/>
                <w:sz w:val="22"/>
                <w:szCs w:val="22"/>
              </w:rPr>
            </w:pPr>
            <w:r w:rsidRPr="002E198C">
              <w:rPr>
                <w:color w:val="000000"/>
                <w:sz w:val="22"/>
                <w:szCs w:val="22"/>
              </w:rPr>
              <w:t>0.00%</w:t>
            </w:r>
          </w:p>
        </w:tc>
        <w:tc>
          <w:tcPr>
            <w:tcW w:w="1043" w:type="dxa"/>
            <w:tcBorders>
              <w:top w:val="nil"/>
              <w:left w:val="nil"/>
              <w:right w:val="nil"/>
            </w:tcBorders>
            <w:shd w:val="clear" w:color="auto" w:fill="auto"/>
            <w:noWrap/>
            <w:vAlign w:val="bottom"/>
            <w:hideMark/>
          </w:tcPr>
          <w:p w14:paraId="4BCE623F" w14:textId="77777777" w:rsidR="002E198C" w:rsidRPr="002E198C" w:rsidRDefault="002E198C" w:rsidP="002E198C">
            <w:pPr>
              <w:jc w:val="right"/>
              <w:rPr>
                <w:color w:val="000000"/>
                <w:sz w:val="22"/>
                <w:szCs w:val="22"/>
              </w:rPr>
            </w:pPr>
            <w:r w:rsidRPr="002E198C">
              <w:rPr>
                <w:color w:val="000000"/>
                <w:sz w:val="22"/>
                <w:szCs w:val="22"/>
              </w:rPr>
              <w:t>0.00%</w:t>
            </w:r>
          </w:p>
        </w:tc>
        <w:tc>
          <w:tcPr>
            <w:tcW w:w="0" w:type="auto"/>
            <w:tcBorders>
              <w:top w:val="nil"/>
              <w:left w:val="nil"/>
              <w:bottom w:val="nil"/>
              <w:right w:val="single" w:sz="4" w:space="0" w:color="auto"/>
            </w:tcBorders>
            <w:shd w:val="clear" w:color="auto" w:fill="auto"/>
            <w:noWrap/>
            <w:vAlign w:val="bottom"/>
            <w:hideMark/>
          </w:tcPr>
          <w:p w14:paraId="479BFB81"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138C4406" w14:textId="77777777" w:rsidTr="00E2006B">
        <w:trPr>
          <w:trHeight w:hRule="exact" w:val="302"/>
          <w:jc w:val="center"/>
        </w:trPr>
        <w:tc>
          <w:tcPr>
            <w:tcW w:w="0" w:type="auto"/>
            <w:tcBorders>
              <w:top w:val="nil"/>
              <w:left w:val="single" w:sz="4" w:space="0" w:color="auto"/>
              <w:bottom w:val="nil"/>
              <w:right w:val="nil"/>
            </w:tcBorders>
            <w:shd w:val="clear" w:color="auto" w:fill="auto"/>
            <w:noWrap/>
            <w:vAlign w:val="bottom"/>
            <w:hideMark/>
          </w:tcPr>
          <w:p w14:paraId="637C33AC"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2ED740E0" w14:textId="77777777" w:rsidR="002E198C" w:rsidRPr="002E198C" w:rsidRDefault="002E198C" w:rsidP="002E198C">
            <w:pPr>
              <w:rPr>
                <w:color w:val="000000"/>
                <w:sz w:val="22"/>
                <w:szCs w:val="22"/>
              </w:rPr>
            </w:pPr>
            <w:r w:rsidRPr="002E198C">
              <w:rPr>
                <w:color w:val="000000"/>
                <w:sz w:val="22"/>
                <w:szCs w:val="22"/>
              </w:rPr>
              <w:t>Other (FAS 109)</w:t>
            </w:r>
          </w:p>
        </w:tc>
        <w:tc>
          <w:tcPr>
            <w:tcW w:w="0" w:type="auto"/>
            <w:tcBorders>
              <w:top w:val="nil"/>
              <w:left w:val="nil"/>
              <w:bottom w:val="single" w:sz="4" w:space="0" w:color="auto"/>
              <w:right w:val="nil"/>
            </w:tcBorders>
            <w:shd w:val="clear" w:color="auto" w:fill="auto"/>
            <w:noWrap/>
            <w:vAlign w:val="bottom"/>
            <w:hideMark/>
          </w:tcPr>
          <w:p w14:paraId="12E0A0BA" w14:textId="77777777" w:rsidR="002E198C" w:rsidRPr="002E198C" w:rsidRDefault="002E198C" w:rsidP="002E198C">
            <w:pPr>
              <w:jc w:val="right"/>
              <w:rPr>
                <w:color w:val="000000"/>
                <w:sz w:val="22"/>
                <w:szCs w:val="22"/>
              </w:rPr>
            </w:pPr>
            <w:r w:rsidRPr="002E198C">
              <w:rPr>
                <w:color w:val="000000"/>
                <w:sz w:val="22"/>
                <w:szCs w:val="22"/>
              </w:rPr>
              <w:t>8,042,215</w:t>
            </w:r>
          </w:p>
        </w:tc>
        <w:tc>
          <w:tcPr>
            <w:tcW w:w="0" w:type="auto"/>
            <w:tcBorders>
              <w:top w:val="nil"/>
              <w:left w:val="nil"/>
              <w:bottom w:val="single" w:sz="4" w:space="0" w:color="auto"/>
              <w:right w:val="nil"/>
            </w:tcBorders>
            <w:shd w:val="clear" w:color="auto" w:fill="auto"/>
            <w:noWrap/>
            <w:vAlign w:val="bottom"/>
            <w:hideMark/>
          </w:tcPr>
          <w:p w14:paraId="4E82C0C2" w14:textId="77777777" w:rsidR="002E198C" w:rsidRPr="002E198C" w:rsidRDefault="002E198C" w:rsidP="002E198C">
            <w:pPr>
              <w:jc w:val="right"/>
              <w:rPr>
                <w:color w:val="000000"/>
                <w:sz w:val="22"/>
                <w:szCs w:val="22"/>
              </w:rPr>
            </w:pPr>
            <w:r w:rsidRPr="002E198C">
              <w:rPr>
                <w:color w:val="000000"/>
                <w:sz w:val="22"/>
                <w:szCs w:val="22"/>
              </w:rPr>
              <w:t>1.46%</w:t>
            </w:r>
          </w:p>
        </w:tc>
        <w:tc>
          <w:tcPr>
            <w:tcW w:w="881" w:type="dxa"/>
            <w:tcBorders>
              <w:top w:val="nil"/>
              <w:left w:val="nil"/>
              <w:bottom w:val="single" w:sz="4" w:space="0" w:color="auto"/>
              <w:right w:val="nil"/>
            </w:tcBorders>
            <w:shd w:val="clear" w:color="auto" w:fill="auto"/>
            <w:noWrap/>
            <w:vAlign w:val="bottom"/>
            <w:hideMark/>
          </w:tcPr>
          <w:p w14:paraId="0929AD5E" w14:textId="77777777" w:rsidR="002E198C" w:rsidRPr="002E198C" w:rsidRDefault="002E198C" w:rsidP="002E198C">
            <w:pPr>
              <w:jc w:val="right"/>
              <w:rPr>
                <w:color w:val="000000"/>
                <w:sz w:val="22"/>
                <w:szCs w:val="22"/>
              </w:rPr>
            </w:pPr>
            <w:r w:rsidRPr="002E198C">
              <w:rPr>
                <w:color w:val="000000"/>
                <w:sz w:val="22"/>
                <w:szCs w:val="22"/>
              </w:rPr>
              <w:t>0.00%</w:t>
            </w:r>
          </w:p>
        </w:tc>
        <w:tc>
          <w:tcPr>
            <w:tcW w:w="1043" w:type="dxa"/>
            <w:tcBorders>
              <w:top w:val="nil"/>
              <w:left w:val="nil"/>
              <w:bottom w:val="single" w:sz="4" w:space="0" w:color="auto"/>
              <w:right w:val="nil"/>
            </w:tcBorders>
            <w:shd w:val="clear" w:color="auto" w:fill="auto"/>
            <w:noWrap/>
            <w:vAlign w:val="bottom"/>
            <w:hideMark/>
          </w:tcPr>
          <w:p w14:paraId="1EECAF4A" w14:textId="77777777" w:rsidR="002E198C" w:rsidRPr="002E198C" w:rsidRDefault="002E198C" w:rsidP="002E198C">
            <w:pPr>
              <w:jc w:val="right"/>
              <w:rPr>
                <w:color w:val="000000"/>
                <w:sz w:val="22"/>
                <w:szCs w:val="22"/>
              </w:rPr>
            </w:pPr>
            <w:r w:rsidRPr="002E198C">
              <w:rPr>
                <w:color w:val="000000"/>
                <w:sz w:val="22"/>
                <w:szCs w:val="22"/>
              </w:rPr>
              <w:t>0.00%</w:t>
            </w:r>
          </w:p>
        </w:tc>
        <w:tc>
          <w:tcPr>
            <w:tcW w:w="0" w:type="auto"/>
            <w:tcBorders>
              <w:top w:val="nil"/>
              <w:left w:val="nil"/>
              <w:bottom w:val="nil"/>
              <w:right w:val="single" w:sz="4" w:space="0" w:color="auto"/>
            </w:tcBorders>
            <w:shd w:val="clear" w:color="auto" w:fill="auto"/>
            <w:noWrap/>
            <w:vAlign w:val="bottom"/>
            <w:hideMark/>
          </w:tcPr>
          <w:p w14:paraId="790D6FF0"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101ABA17" w14:textId="77777777" w:rsidTr="00E2006B">
        <w:trPr>
          <w:trHeight w:hRule="exact" w:val="317"/>
          <w:jc w:val="center"/>
        </w:trPr>
        <w:tc>
          <w:tcPr>
            <w:tcW w:w="0" w:type="auto"/>
            <w:tcBorders>
              <w:top w:val="nil"/>
              <w:left w:val="single" w:sz="4" w:space="0" w:color="auto"/>
              <w:bottom w:val="nil"/>
              <w:right w:val="nil"/>
            </w:tcBorders>
            <w:shd w:val="clear" w:color="auto" w:fill="auto"/>
            <w:noWrap/>
            <w:vAlign w:val="bottom"/>
            <w:hideMark/>
          </w:tcPr>
          <w:p w14:paraId="071A5B25"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nil"/>
              <w:right w:val="nil"/>
            </w:tcBorders>
            <w:shd w:val="clear" w:color="auto" w:fill="auto"/>
            <w:noWrap/>
            <w:vAlign w:val="bottom"/>
            <w:hideMark/>
          </w:tcPr>
          <w:p w14:paraId="1927606D" w14:textId="77777777" w:rsidR="002E198C" w:rsidRPr="002E198C" w:rsidRDefault="002E198C" w:rsidP="002E198C">
            <w:pPr>
              <w:rPr>
                <w:color w:val="000000"/>
                <w:sz w:val="22"/>
                <w:szCs w:val="22"/>
              </w:rPr>
            </w:pPr>
            <w:r w:rsidRPr="002E198C">
              <w:rPr>
                <w:color w:val="000000"/>
                <w:sz w:val="22"/>
                <w:szCs w:val="22"/>
              </w:rPr>
              <w:t>Total</w:t>
            </w:r>
          </w:p>
        </w:tc>
        <w:tc>
          <w:tcPr>
            <w:tcW w:w="0" w:type="auto"/>
            <w:tcBorders>
              <w:top w:val="single" w:sz="4" w:space="0" w:color="auto"/>
              <w:left w:val="nil"/>
              <w:bottom w:val="double" w:sz="6" w:space="0" w:color="auto"/>
              <w:right w:val="nil"/>
            </w:tcBorders>
            <w:shd w:val="clear" w:color="auto" w:fill="auto"/>
            <w:noWrap/>
            <w:vAlign w:val="bottom"/>
            <w:hideMark/>
          </w:tcPr>
          <w:p w14:paraId="16AB021A" w14:textId="77777777" w:rsidR="002E198C" w:rsidRPr="002E198C" w:rsidRDefault="002E198C" w:rsidP="002E198C">
            <w:pPr>
              <w:jc w:val="right"/>
              <w:rPr>
                <w:color w:val="000000"/>
                <w:sz w:val="22"/>
                <w:szCs w:val="22"/>
              </w:rPr>
            </w:pPr>
            <w:r w:rsidRPr="002E198C">
              <w:rPr>
                <w:color w:val="000000"/>
                <w:sz w:val="22"/>
                <w:szCs w:val="22"/>
              </w:rPr>
              <w:t xml:space="preserve">   $551,813,687</w:t>
            </w:r>
          </w:p>
        </w:tc>
        <w:tc>
          <w:tcPr>
            <w:tcW w:w="0" w:type="auto"/>
            <w:tcBorders>
              <w:top w:val="single" w:sz="4" w:space="0" w:color="auto"/>
              <w:left w:val="nil"/>
              <w:bottom w:val="double" w:sz="6" w:space="0" w:color="auto"/>
              <w:right w:val="nil"/>
            </w:tcBorders>
            <w:shd w:val="clear" w:color="auto" w:fill="auto"/>
            <w:noWrap/>
            <w:vAlign w:val="bottom"/>
            <w:hideMark/>
          </w:tcPr>
          <w:p w14:paraId="397C6461" w14:textId="77777777" w:rsidR="002E198C" w:rsidRPr="002E198C" w:rsidRDefault="002E198C" w:rsidP="002E198C">
            <w:pPr>
              <w:jc w:val="right"/>
              <w:rPr>
                <w:color w:val="000000"/>
                <w:sz w:val="22"/>
                <w:szCs w:val="22"/>
              </w:rPr>
            </w:pPr>
            <w:r w:rsidRPr="002E198C">
              <w:rPr>
                <w:color w:val="000000"/>
                <w:sz w:val="22"/>
                <w:szCs w:val="22"/>
              </w:rPr>
              <w:t>100.00%</w:t>
            </w:r>
          </w:p>
        </w:tc>
        <w:tc>
          <w:tcPr>
            <w:tcW w:w="881" w:type="dxa"/>
            <w:tcBorders>
              <w:top w:val="single" w:sz="4" w:space="0" w:color="auto"/>
              <w:left w:val="nil"/>
              <w:bottom w:val="nil"/>
              <w:right w:val="nil"/>
            </w:tcBorders>
            <w:shd w:val="clear" w:color="auto" w:fill="auto"/>
            <w:noWrap/>
            <w:vAlign w:val="bottom"/>
          </w:tcPr>
          <w:p w14:paraId="7423BB45" w14:textId="77777777" w:rsidR="002E198C" w:rsidRPr="002E198C" w:rsidRDefault="002E198C" w:rsidP="002E198C">
            <w:pPr>
              <w:jc w:val="right"/>
              <w:rPr>
                <w:color w:val="000000"/>
                <w:sz w:val="22"/>
                <w:szCs w:val="22"/>
              </w:rPr>
            </w:pPr>
          </w:p>
        </w:tc>
        <w:tc>
          <w:tcPr>
            <w:tcW w:w="1043" w:type="dxa"/>
            <w:tcBorders>
              <w:top w:val="single" w:sz="4" w:space="0" w:color="auto"/>
              <w:left w:val="nil"/>
              <w:bottom w:val="double" w:sz="6" w:space="0" w:color="auto"/>
              <w:right w:val="nil"/>
            </w:tcBorders>
            <w:shd w:val="clear" w:color="auto" w:fill="auto"/>
            <w:noWrap/>
            <w:vAlign w:val="bottom"/>
            <w:hideMark/>
          </w:tcPr>
          <w:p w14:paraId="19D444B3" w14:textId="77777777" w:rsidR="002E198C" w:rsidRPr="002E198C" w:rsidRDefault="002E198C" w:rsidP="002E198C">
            <w:pPr>
              <w:jc w:val="right"/>
              <w:rPr>
                <w:color w:val="000000"/>
                <w:sz w:val="22"/>
                <w:szCs w:val="22"/>
              </w:rPr>
            </w:pPr>
            <w:r w:rsidRPr="002E198C">
              <w:rPr>
                <w:color w:val="000000"/>
                <w:sz w:val="22"/>
                <w:szCs w:val="22"/>
              </w:rPr>
              <w:t>7.16%</w:t>
            </w:r>
          </w:p>
        </w:tc>
        <w:tc>
          <w:tcPr>
            <w:tcW w:w="0" w:type="auto"/>
            <w:tcBorders>
              <w:top w:val="nil"/>
              <w:left w:val="nil"/>
              <w:bottom w:val="nil"/>
              <w:right w:val="single" w:sz="4" w:space="0" w:color="auto"/>
            </w:tcBorders>
            <w:shd w:val="clear" w:color="auto" w:fill="auto"/>
            <w:noWrap/>
            <w:vAlign w:val="bottom"/>
            <w:hideMark/>
          </w:tcPr>
          <w:p w14:paraId="7F5C399A"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r w:rsidR="002E198C" w:rsidRPr="002E198C" w14:paraId="40B9EF31" w14:textId="77777777" w:rsidTr="00E2006B">
        <w:trPr>
          <w:trHeight w:hRule="exact" w:val="317"/>
          <w:jc w:val="center"/>
        </w:trPr>
        <w:tc>
          <w:tcPr>
            <w:tcW w:w="0" w:type="auto"/>
            <w:tcBorders>
              <w:top w:val="nil"/>
              <w:left w:val="single" w:sz="4" w:space="0" w:color="auto"/>
              <w:bottom w:val="single" w:sz="4" w:space="0" w:color="auto"/>
              <w:right w:val="nil"/>
            </w:tcBorders>
            <w:shd w:val="clear" w:color="auto" w:fill="auto"/>
            <w:noWrap/>
            <w:vAlign w:val="bottom"/>
            <w:hideMark/>
          </w:tcPr>
          <w:p w14:paraId="6C61C29E"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7D74256D" w14:textId="77777777" w:rsidR="002E198C" w:rsidRPr="002E198C" w:rsidRDefault="002E198C" w:rsidP="002E198C">
            <w:pPr>
              <w:rPr>
                <w:color w:val="000000"/>
                <w:sz w:val="22"/>
                <w:szCs w:val="22"/>
              </w:rPr>
            </w:pPr>
            <w:r w:rsidRPr="002E198C">
              <w:rPr>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6BCCB484" w14:textId="77777777" w:rsidR="002E198C" w:rsidRPr="002E198C" w:rsidRDefault="002E198C" w:rsidP="002E198C">
            <w:pPr>
              <w:rPr>
                <w:color w:val="000000"/>
                <w:sz w:val="22"/>
                <w:szCs w:val="22"/>
              </w:rPr>
            </w:pPr>
            <w:r w:rsidRPr="002E198C">
              <w:rPr>
                <w:color w:val="000000"/>
                <w:sz w:val="22"/>
                <w:szCs w:val="22"/>
              </w:rPr>
              <w:t> </w:t>
            </w:r>
          </w:p>
        </w:tc>
        <w:tc>
          <w:tcPr>
            <w:tcW w:w="0" w:type="auto"/>
            <w:tcBorders>
              <w:top w:val="nil"/>
              <w:left w:val="nil"/>
              <w:bottom w:val="single" w:sz="4" w:space="0" w:color="auto"/>
              <w:right w:val="nil"/>
            </w:tcBorders>
            <w:shd w:val="clear" w:color="auto" w:fill="auto"/>
            <w:noWrap/>
            <w:vAlign w:val="bottom"/>
            <w:hideMark/>
          </w:tcPr>
          <w:p w14:paraId="273617C7" w14:textId="77777777" w:rsidR="002E198C" w:rsidRPr="002E198C" w:rsidRDefault="002E198C" w:rsidP="002E198C">
            <w:pPr>
              <w:rPr>
                <w:color w:val="000000"/>
                <w:sz w:val="22"/>
                <w:szCs w:val="22"/>
              </w:rPr>
            </w:pPr>
            <w:r w:rsidRPr="002E198C">
              <w:rPr>
                <w:color w:val="000000"/>
                <w:sz w:val="22"/>
                <w:szCs w:val="22"/>
              </w:rPr>
              <w:t> </w:t>
            </w:r>
          </w:p>
        </w:tc>
        <w:tc>
          <w:tcPr>
            <w:tcW w:w="881" w:type="dxa"/>
            <w:tcBorders>
              <w:top w:val="nil"/>
              <w:left w:val="nil"/>
              <w:bottom w:val="single" w:sz="4" w:space="0" w:color="auto"/>
              <w:right w:val="nil"/>
            </w:tcBorders>
            <w:shd w:val="clear" w:color="auto" w:fill="auto"/>
            <w:noWrap/>
            <w:vAlign w:val="bottom"/>
          </w:tcPr>
          <w:p w14:paraId="613AEF74" w14:textId="77777777" w:rsidR="002E198C" w:rsidRPr="002E198C" w:rsidRDefault="002E198C" w:rsidP="002E198C">
            <w:pPr>
              <w:rPr>
                <w:color w:val="000000"/>
                <w:sz w:val="22"/>
                <w:szCs w:val="22"/>
              </w:rPr>
            </w:pPr>
            <w:r w:rsidRPr="002E198C">
              <w:rPr>
                <w:color w:val="000000"/>
                <w:sz w:val="22"/>
                <w:szCs w:val="22"/>
              </w:rPr>
              <w:t> </w:t>
            </w:r>
          </w:p>
        </w:tc>
        <w:tc>
          <w:tcPr>
            <w:tcW w:w="1043" w:type="dxa"/>
            <w:tcBorders>
              <w:top w:val="nil"/>
              <w:left w:val="nil"/>
              <w:bottom w:val="single" w:sz="4" w:space="0" w:color="auto"/>
              <w:right w:val="nil"/>
            </w:tcBorders>
            <w:shd w:val="clear" w:color="auto" w:fill="auto"/>
            <w:noWrap/>
            <w:vAlign w:val="bottom"/>
            <w:hideMark/>
          </w:tcPr>
          <w:p w14:paraId="2D011DE4" w14:textId="77777777" w:rsidR="002E198C" w:rsidRPr="002E198C" w:rsidRDefault="002E198C" w:rsidP="002E198C">
            <w:pPr>
              <w:rPr>
                <w:color w:val="000000"/>
                <w:sz w:val="22"/>
                <w:szCs w:val="22"/>
              </w:rPr>
            </w:pPr>
            <w:r w:rsidRPr="002E198C">
              <w:rPr>
                <w:color w:val="000000"/>
                <w:sz w:val="22"/>
                <w:szCs w:val="22"/>
              </w:rPr>
              <w:t> </w:t>
            </w:r>
          </w:p>
        </w:tc>
        <w:tc>
          <w:tcPr>
            <w:tcW w:w="0" w:type="auto"/>
            <w:tcBorders>
              <w:top w:val="nil"/>
              <w:left w:val="nil"/>
              <w:bottom w:val="single" w:sz="4" w:space="0" w:color="auto"/>
              <w:right w:val="single" w:sz="4" w:space="0" w:color="auto"/>
            </w:tcBorders>
            <w:shd w:val="clear" w:color="auto" w:fill="auto"/>
            <w:noWrap/>
            <w:vAlign w:val="bottom"/>
            <w:hideMark/>
          </w:tcPr>
          <w:p w14:paraId="1EE48B1F" w14:textId="77777777" w:rsidR="002E198C" w:rsidRPr="002E198C" w:rsidRDefault="002E198C" w:rsidP="002E198C">
            <w:pPr>
              <w:rPr>
                <w:rFonts w:ascii="Calibri" w:hAnsi="Calibri"/>
                <w:color w:val="000000"/>
                <w:sz w:val="22"/>
                <w:szCs w:val="22"/>
              </w:rPr>
            </w:pPr>
            <w:r w:rsidRPr="002E198C">
              <w:rPr>
                <w:rFonts w:ascii="Calibri" w:hAnsi="Calibri"/>
                <w:color w:val="000000"/>
                <w:sz w:val="22"/>
                <w:szCs w:val="22"/>
              </w:rPr>
              <w:t> </w:t>
            </w:r>
          </w:p>
        </w:tc>
      </w:tr>
    </w:tbl>
    <w:p w14:paraId="6D7666EF" w14:textId="77777777" w:rsidR="002E198C" w:rsidRDefault="002E198C" w:rsidP="002E198C">
      <w:pPr>
        <w:pStyle w:val="OrderBody"/>
      </w:pPr>
    </w:p>
    <w:p w14:paraId="2AD29A0D" w14:textId="77777777" w:rsidR="002E198C" w:rsidRDefault="002E198C" w:rsidP="002E198C">
      <w:pPr>
        <w:pStyle w:val="OrderBody"/>
      </w:pPr>
    </w:p>
    <w:p w14:paraId="2090E4C4" w14:textId="77777777" w:rsidR="002E198C" w:rsidRDefault="002E198C" w:rsidP="002E198C">
      <w:pPr>
        <w:pStyle w:val="OrderBody"/>
        <w:sectPr w:rsidR="002E198C" w:rsidSect="002E198C">
          <w:headerReference w:type="default" r:id="rId9"/>
          <w:pgSz w:w="12240" w:h="15840" w:code="1"/>
          <w:pgMar w:top="1440" w:right="1440" w:bottom="1440" w:left="1440" w:header="720" w:footer="720" w:gutter="0"/>
          <w:cols w:space="720"/>
          <w:docGrid w:linePitch="360"/>
        </w:sectPr>
      </w:pPr>
    </w:p>
    <w:p w14:paraId="1E3CE103" w14:textId="2083D8D7" w:rsidR="002E198C" w:rsidRDefault="002E198C" w:rsidP="002E198C">
      <w:pPr>
        <w:pStyle w:val="OrderBody"/>
      </w:pPr>
      <w:r>
        <w:rPr>
          <w:noProof/>
        </w:rPr>
        <w:lastRenderedPageBreak/>
        <w:drawing>
          <wp:inline distT="0" distB="0" distL="0" distR="0" wp14:anchorId="7D226933" wp14:editId="5DF2327D">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CG interim tariffs_Page_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F9044F9" w14:textId="77777777" w:rsidR="002E198C" w:rsidRDefault="002E198C" w:rsidP="002E198C">
      <w:pPr>
        <w:pStyle w:val="OrderBody"/>
        <w:sectPr w:rsidR="002E198C" w:rsidSect="002E198C">
          <w:headerReference w:type="default" r:id="rId11"/>
          <w:pgSz w:w="12240" w:h="15840" w:code="1"/>
          <w:pgMar w:top="1440" w:right="1440" w:bottom="1440" w:left="1440" w:header="720" w:footer="720" w:gutter="0"/>
          <w:cols w:space="720"/>
          <w:docGrid w:linePitch="360"/>
        </w:sectPr>
      </w:pPr>
    </w:p>
    <w:p w14:paraId="6CCA301F" w14:textId="75B232AD" w:rsidR="002E198C" w:rsidRDefault="002E198C" w:rsidP="002E198C">
      <w:pPr>
        <w:pStyle w:val="OrderBody"/>
      </w:pPr>
      <w:r>
        <w:rPr>
          <w:noProof/>
        </w:rPr>
        <w:lastRenderedPageBreak/>
        <w:drawing>
          <wp:inline distT="0" distB="0" distL="0" distR="0" wp14:anchorId="504F0238" wp14:editId="552740EA">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CG interim tariffs_Page_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11023AE"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0AD0A329" w14:textId="7E3DCF0C" w:rsidR="002E198C" w:rsidRDefault="002E198C" w:rsidP="002E198C">
      <w:pPr>
        <w:pStyle w:val="OrderBody"/>
      </w:pPr>
      <w:r>
        <w:rPr>
          <w:noProof/>
        </w:rPr>
        <w:lastRenderedPageBreak/>
        <w:drawing>
          <wp:inline distT="0" distB="0" distL="0" distR="0" wp14:anchorId="243CF094" wp14:editId="7F5AB038">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CG interim tariffs_Page_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009785B"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3B9AE329" w14:textId="474A473F" w:rsidR="002E198C" w:rsidRDefault="002E198C" w:rsidP="002E198C">
      <w:pPr>
        <w:pStyle w:val="OrderBody"/>
      </w:pPr>
      <w:r>
        <w:rPr>
          <w:noProof/>
        </w:rPr>
        <w:lastRenderedPageBreak/>
        <w:drawing>
          <wp:inline distT="0" distB="0" distL="0" distR="0" wp14:anchorId="079C1BA6" wp14:editId="5EA1C6F6">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CG interim tariffs_Page_0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FF3BD0A"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087F1FCD" w14:textId="4002DFF1" w:rsidR="002E198C" w:rsidRDefault="002E198C" w:rsidP="002E198C">
      <w:pPr>
        <w:pStyle w:val="OrderBody"/>
      </w:pPr>
      <w:r>
        <w:rPr>
          <w:noProof/>
        </w:rPr>
        <w:lastRenderedPageBreak/>
        <w:drawing>
          <wp:inline distT="0" distB="0" distL="0" distR="0" wp14:anchorId="4955EC87" wp14:editId="5D6AA0A5">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CG interim tariffs_Page_0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652A480"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2545EAEF" w14:textId="14C9A564" w:rsidR="002E198C" w:rsidRDefault="002E198C" w:rsidP="002E198C">
      <w:pPr>
        <w:pStyle w:val="OrderBody"/>
      </w:pPr>
      <w:r>
        <w:rPr>
          <w:noProof/>
        </w:rPr>
        <w:lastRenderedPageBreak/>
        <w:drawing>
          <wp:inline distT="0" distB="0" distL="0" distR="0" wp14:anchorId="16DAB4E3" wp14:editId="7D0FACF1">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CG interim tariffs_Page_0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66F55B9"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21D3D3C1" w14:textId="0CFF03ED" w:rsidR="002E198C" w:rsidRDefault="002E198C" w:rsidP="002E198C">
      <w:pPr>
        <w:pStyle w:val="OrderBody"/>
      </w:pPr>
      <w:r>
        <w:rPr>
          <w:noProof/>
        </w:rPr>
        <w:lastRenderedPageBreak/>
        <w:drawing>
          <wp:inline distT="0" distB="0" distL="0" distR="0" wp14:anchorId="2E46571E" wp14:editId="249B837A">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CG interim tariffs_Page_0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68C08A7"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52078BD3" w14:textId="415CA4E2" w:rsidR="002E198C" w:rsidRDefault="002E198C" w:rsidP="002E198C">
      <w:pPr>
        <w:pStyle w:val="OrderBody"/>
      </w:pPr>
      <w:r>
        <w:rPr>
          <w:noProof/>
        </w:rPr>
        <w:lastRenderedPageBreak/>
        <w:drawing>
          <wp:inline distT="0" distB="0" distL="0" distR="0" wp14:anchorId="1A2E38E9" wp14:editId="54643D96">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CG interim tariffs_Page_0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DA32CF7"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273F2CB7" w14:textId="18BD7557" w:rsidR="002E198C" w:rsidRDefault="002E198C" w:rsidP="002E198C">
      <w:pPr>
        <w:pStyle w:val="OrderBody"/>
      </w:pPr>
      <w:r>
        <w:rPr>
          <w:noProof/>
        </w:rPr>
        <w:lastRenderedPageBreak/>
        <w:drawing>
          <wp:inline distT="0" distB="0" distL="0" distR="0" wp14:anchorId="374B47E6" wp14:editId="25E81B18">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CG interim tariffs_Page_0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43F0230"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4F35F684" w14:textId="49CC5D39" w:rsidR="002E198C" w:rsidRDefault="002E198C" w:rsidP="002E198C">
      <w:pPr>
        <w:pStyle w:val="OrderBody"/>
      </w:pPr>
      <w:r>
        <w:rPr>
          <w:noProof/>
        </w:rPr>
        <w:lastRenderedPageBreak/>
        <w:drawing>
          <wp:inline distT="0" distB="0" distL="0" distR="0" wp14:anchorId="40211E69" wp14:editId="4978447C">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CG interim tariffs_Page_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1053BE8"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102BF290" w14:textId="7B3C6279" w:rsidR="002E198C" w:rsidRDefault="002E198C" w:rsidP="002E198C">
      <w:pPr>
        <w:pStyle w:val="OrderBody"/>
      </w:pPr>
      <w:r>
        <w:rPr>
          <w:noProof/>
        </w:rPr>
        <w:lastRenderedPageBreak/>
        <w:drawing>
          <wp:inline distT="0" distB="0" distL="0" distR="0" wp14:anchorId="569AB2DE" wp14:editId="11B43595">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CG interim tariffs_Page_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35D1B45"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5374D004" w14:textId="0E1650A4" w:rsidR="002E198C" w:rsidRDefault="002E198C" w:rsidP="002E198C">
      <w:pPr>
        <w:pStyle w:val="OrderBody"/>
      </w:pPr>
      <w:r>
        <w:rPr>
          <w:noProof/>
        </w:rPr>
        <w:lastRenderedPageBreak/>
        <w:drawing>
          <wp:inline distT="0" distB="0" distL="0" distR="0" wp14:anchorId="09204B38" wp14:editId="5B52C749">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CG interim tariffs_Page_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B0AF365"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615D802C" w14:textId="20A722C7" w:rsidR="002E198C" w:rsidRDefault="002E198C" w:rsidP="002E198C">
      <w:pPr>
        <w:pStyle w:val="OrderBody"/>
      </w:pPr>
      <w:r>
        <w:rPr>
          <w:noProof/>
        </w:rPr>
        <w:lastRenderedPageBreak/>
        <w:drawing>
          <wp:inline distT="0" distB="0" distL="0" distR="0" wp14:anchorId="46EDE876" wp14:editId="6E3DFE54">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CG interim tariffs_Page_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AF13704"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6F07D7DD" w14:textId="478216DD" w:rsidR="002E198C" w:rsidRDefault="002E198C" w:rsidP="002E198C">
      <w:pPr>
        <w:pStyle w:val="OrderBody"/>
      </w:pPr>
      <w:r>
        <w:rPr>
          <w:noProof/>
        </w:rPr>
        <w:lastRenderedPageBreak/>
        <w:drawing>
          <wp:inline distT="0" distB="0" distL="0" distR="0" wp14:anchorId="64B40542" wp14:editId="27471D5B">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CG interim tariffs_Page_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AEFDA55" w14:textId="77777777" w:rsidR="002E198C" w:rsidRDefault="002E198C" w:rsidP="002E198C">
      <w:pPr>
        <w:pStyle w:val="OrderBody"/>
        <w:sectPr w:rsidR="002E198C" w:rsidSect="002E198C">
          <w:pgSz w:w="12240" w:h="15840" w:code="1"/>
          <w:pgMar w:top="1440" w:right="1440" w:bottom="1440" w:left="1440" w:header="720" w:footer="720" w:gutter="0"/>
          <w:cols w:space="720"/>
          <w:docGrid w:linePitch="360"/>
        </w:sectPr>
      </w:pPr>
    </w:p>
    <w:p w14:paraId="4550E1B6" w14:textId="32B056FE" w:rsidR="002E198C" w:rsidRDefault="002E198C" w:rsidP="002E198C">
      <w:pPr>
        <w:pStyle w:val="OrderBody"/>
      </w:pPr>
      <w:r>
        <w:rPr>
          <w:noProof/>
        </w:rPr>
        <w:lastRenderedPageBreak/>
        <w:drawing>
          <wp:inline distT="0" distB="0" distL="0" distR="0" wp14:anchorId="320624F7" wp14:editId="3C5F18CC">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CG interim tariffs_Page_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AD6912E" w14:textId="77777777" w:rsidR="002E198C" w:rsidRDefault="002E198C" w:rsidP="002E198C">
      <w:pPr>
        <w:pStyle w:val="OrderBody"/>
      </w:pPr>
    </w:p>
    <w:sectPr w:rsidR="002E198C" w:rsidSect="002E198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5B47" w14:textId="77777777" w:rsidR="002E198C" w:rsidRDefault="002E198C">
      <w:r>
        <w:separator/>
      </w:r>
    </w:p>
  </w:endnote>
  <w:endnote w:type="continuationSeparator" w:id="0">
    <w:p w14:paraId="2A9C57F6" w14:textId="77777777" w:rsidR="002E198C" w:rsidRDefault="002E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628B7" w14:textId="77777777" w:rsidR="002E198C" w:rsidRDefault="002E198C">
      <w:r>
        <w:separator/>
      </w:r>
    </w:p>
  </w:footnote>
  <w:footnote w:type="continuationSeparator" w:id="0">
    <w:p w14:paraId="15C8C0B9" w14:textId="77777777" w:rsidR="002E198C" w:rsidRDefault="002E198C">
      <w:r>
        <w:continuationSeparator/>
      </w:r>
    </w:p>
  </w:footnote>
  <w:footnote w:id="1">
    <w:p w14:paraId="21972998" w14:textId="41DA64DB" w:rsidR="002E198C" w:rsidRPr="00925AFD" w:rsidRDefault="002E198C" w:rsidP="002E198C">
      <w:pPr>
        <w:pStyle w:val="FootnoteText"/>
      </w:pPr>
      <w:r w:rsidRPr="00925AFD">
        <w:rPr>
          <w:rStyle w:val="FootnoteReference"/>
        </w:rPr>
        <w:footnoteRef/>
      </w:r>
      <w:r>
        <w:t xml:space="preserve"> </w:t>
      </w:r>
      <w:r w:rsidRPr="00925AFD">
        <w:t>Order No</w:t>
      </w:r>
      <w:r>
        <w:t>s</w:t>
      </w:r>
      <w:r w:rsidRPr="00925AFD">
        <w:t xml:space="preserve">. </w:t>
      </w:r>
      <w:r w:rsidRPr="00DE1A96">
        <w:t>PSC-2023-0177-FOF-GU</w:t>
      </w:r>
      <w:r>
        <w:t xml:space="preserve">, issued </w:t>
      </w:r>
      <w:r w:rsidRPr="00DE1A96">
        <w:t>June 9, 2023</w:t>
      </w:r>
      <w:r>
        <w:t xml:space="preserve">, and PSC-2023-0299-FOF-GU, issued October 2, 2023, in Docket No. </w:t>
      </w:r>
      <w:r w:rsidRPr="00DE1A96">
        <w:t>20220069-GU</w:t>
      </w:r>
      <w:r>
        <w:t xml:space="preserve">, </w:t>
      </w:r>
      <w:r w:rsidRPr="00925AFD">
        <w:rPr>
          <w:i/>
        </w:rPr>
        <w:t>In re: Petition for rate increase by Florida City Gas.</w:t>
      </w:r>
    </w:p>
  </w:footnote>
  <w:footnote w:id="2">
    <w:p w14:paraId="3F23617E" w14:textId="77777777" w:rsidR="002E198C" w:rsidRDefault="002E198C" w:rsidP="002E198C">
      <w:pPr>
        <w:pStyle w:val="FootnoteText"/>
      </w:pPr>
      <w:r>
        <w:rPr>
          <w:rStyle w:val="FootnoteReference"/>
        </w:rPr>
        <w:footnoteRef/>
      </w:r>
      <w:r>
        <w:t xml:space="preserve"> Order No.</w:t>
      </w:r>
      <w:r w:rsidRPr="007D0290">
        <w:t xml:space="preserve"> </w:t>
      </w:r>
      <w:r w:rsidRPr="007577CE">
        <w:t>PSC-2026-0153-PCO-GU</w:t>
      </w:r>
      <w:r>
        <w:t xml:space="preserve">, issued May 15, 2026, in Docket No. 20260026-GU, </w:t>
      </w:r>
      <w:r w:rsidRPr="00925AFD">
        <w:rPr>
          <w:i/>
        </w:rPr>
        <w:t>In re: Petition for rate increase by Florida City Gas.</w:t>
      </w:r>
    </w:p>
  </w:footnote>
  <w:footnote w:id="3">
    <w:p w14:paraId="4B5FFE3B" w14:textId="77777777" w:rsidR="002E198C" w:rsidRDefault="002E198C" w:rsidP="002E198C">
      <w:pPr>
        <w:pStyle w:val="FootnoteText"/>
      </w:pPr>
      <w:r>
        <w:rPr>
          <w:rStyle w:val="FootnoteReference"/>
        </w:rPr>
        <w:footnoteRef/>
      </w:r>
      <w:r>
        <w:t xml:space="preserve"> Order No.</w:t>
      </w:r>
      <w:r w:rsidRPr="007D0290">
        <w:t xml:space="preserve"> PSC-2026-0051-PCO-GU</w:t>
      </w:r>
      <w:r>
        <w:t xml:space="preserve">, issued February 20, 2026, in Docket No. 20260026-GU, </w:t>
      </w:r>
      <w:r w:rsidRPr="00925AFD">
        <w:rPr>
          <w:i/>
        </w:rPr>
        <w:t>In re: Petition for rate increase by Florida City Gas.</w:t>
      </w:r>
    </w:p>
  </w:footnote>
  <w:footnote w:id="4">
    <w:p w14:paraId="374F91FE" w14:textId="77777777" w:rsidR="002E198C" w:rsidRDefault="002E198C" w:rsidP="002E198C">
      <w:pPr>
        <w:pStyle w:val="FootnoteText"/>
      </w:pPr>
      <w:r>
        <w:rPr>
          <w:rStyle w:val="FootnoteReference"/>
        </w:rPr>
        <w:footnoteRef/>
      </w:r>
      <w:r>
        <w:t xml:space="preserve"> Order No. PSC-2023-0177-FOF-GU.</w:t>
      </w:r>
    </w:p>
  </w:footnote>
  <w:footnote w:id="5">
    <w:p w14:paraId="445281A8" w14:textId="77777777" w:rsidR="002E198C" w:rsidRDefault="002E198C" w:rsidP="002E198C">
      <w:pPr>
        <w:pStyle w:val="FootnoteText"/>
      </w:pPr>
      <w:r>
        <w:rPr>
          <w:rStyle w:val="FootnoteReference"/>
        </w:rPr>
        <w:footnoteRef/>
      </w:r>
      <w:r>
        <w:t xml:space="preserve"> Order No. PSC-2023-0177-FOF-GU.</w:t>
      </w:r>
    </w:p>
  </w:footnote>
  <w:footnote w:id="6">
    <w:p w14:paraId="2C44E465" w14:textId="77777777" w:rsidR="002E198C" w:rsidRDefault="002E198C" w:rsidP="002E198C">
      <w:pPr>
        <w:pStyle w:val="FootnoteText"/>
      </w:pPr>
      <w:r>
        <w:rPr>
          <w:rStyle w:val="FootnoteReference"/>
        </w:rPr>
        <w:footnoteRef/>
      </w:r>
      <w:r>
        <w:t xml:space="preserve"> </w:t>
      </w:r>
      <w:r w:rsidRPr="00045F0F">
        <w:rPr>
          <w:i/>
        </w:rPr>
        <w:t>Id.</w:t>
      </w:r>
    </w:p>
  </w:footnote>
  <w:footnote w:id="7">
    <w:p w14:paraId="0695138A" w14:textId="77777777" w:rsidR="002E198C" w:rsidRDefault="002E198C" w:rsidP="002E198C">
      <w:pPr>
        <w:pStyle w:val="FootnoteText"/>
      </w:pPr>
      <w:r>
        <w:rPr>
          <w:rStyle w:val="FootnoteReference"/>
        </w:rPr>
        <w:footnoteRef/>
      </w:r>
      <w:r>
        <w:t xml:space="preserve"> Order No. PSC-2023-0177-FOF-GU.</w:t>
      </w:r>
    </w:p>
  </w:footnote>
  <w:footnote w:id="8">
    <w:p w14:paraId="5BB7C816" w14:textId="77777777" w:rsidR="002E198C" w:rsidRDefault="002E198C" w:rsidP="002E198C">
      <w:pPr>
        <w:pStyle w:val="FootnoteText"/>
      </w:pPr>
      <w:r>
        <w:rPr>
          <w:rStyle w:val="FootnoteReference"/>
        </w:rPr>
        <w:footnoteRef/>
      </w:r>
      <w:r>
        <w:t xml:space="preserve"> Document No. 03404-2026, filed on June 9,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B335" w14:textId="052BA374" w:rsidR="00FA6EFD" w:rsidRDefault="00FA6EFD">
    <w:pPr>
      <w:pStyle w:val="OrderHeader"/>
    </w:pPr>
    <w:r>
      <w:t xml:space="preserve">ORDER NO. </w:t>
    </w:r>
    <w:r w:rsidR="009A573F">
      <w:fldChar w:fldCharType="begin"/>
    </w:r>
    <w:r w:rsidR="009A573F">
      <w:instrText xml:space="preserve"> REF OrderNo0258 </w:instrText>
    </w:r>
    <w:r w:rsidR="009A573F">
      <w:fldChar w:fldCharType="separate"/>
    </w:r>
    <w:r w:rsidR="00FC3F41">
      <w:t>PSC-2026-0258-PCO-GU</w:t>
    </w:r>
    <w:r w:rsidR="009A573F">
      <w:fldChar w:fldCharType="end"/>
    </w:r>
  </w:p>
  <w:p w14:paraId="4A45C9DA" w14:textId="0B8441A2" w:rsidR="00FA6EFD" w:rsidRDefault="002E198C">
    <w:pPr>
      <w:pStyle w:val="OrderHeader"/>
    </w:pPr>
    <w:bookmarkStart w:id="8" w:name="HeaderDocketNo"/>
    <w:bookmarkEnd w:id="8"/>
    <w:r>
      <w:t>DOCKET NO. 20260026-GU</w:t>
    </w:r>
  </w:p>
  <w:p w14:paraId="725D829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0868B9C0"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D63C" w14:textId="5EF0494B" w:rsidR="002E198C" w:rsidRDefault="009A573F">
    <w:pPr>
      <w:pStyle w:val="OrderHeader"/>
    </w:pPr>
    <w:r>
      <w:t>ORDER NO. PSC-2026-0258-PCO-GU</w:t>
    </w:r>
    <w:r w:rsidR="002E198C">
      <w:tab/>
    </w:r>
    <w:r w:rsidR="002E198C">
      <w:tab/>
      <w:t>Attachment A</w:t>
    </w:r>
  </w:p>
  <w:p w14:paraId="29B69ABC" w14:textId="6DEF9EDD" w:rsidR="002E198C" w:rsidRDefault="002E198C">
    <w:pPr>
      <w:pStyle w:val="OrderHeader"/>
    </w:pPr>
    <w:r>
      <w:t>DOCKET NO. 20260026-GU</w:t>
    </w:r>
    <w:r w:rsidR="00EC512C">
      <w:tab/>
    </w:r>
    <w:r w:rsidR="00EC512C">
      <w:tab/>
      <w:t xml:space="preserve">Page </w:t>
    </w:r>
    <w:r w:rsidR="00EC512C">
      <w:fldChar w:fldCharType="begin"/>
    </w:r>
    <w:r w:rsidR="00EC512C">
      <w:instrText xml:space="preserve"> = </w:instrText>
    </w:r>
    <w:r w:rsidR="00EC512C">
      <w:fldChar w:fldCharType="begin"/>
    </w:r>
    <w:r w:rsidR="00EC512C">
      <w:instrText xml:space="preserve"> PAGE </w:instrText>
    </w:r>
    <w:r w:rsidR="00EC512C">
      <w:fldChar w:fldCharType="separate"/>
    </w:r>
    <w:r w:rsidR="00FC3F41">
      <w:rPr>
        <w:noProof/>
      </w:rPr>
      <w:instrText>8</w:instrText>
    </w:r>
    <w:r w:rsidR="00EC512C">
      <w:fldChar w:fldCharType="end"/>
    </w:r>
    <w:r w:rsidR="00EC512C">
      <w:instrText xml:space="preserve"> - 7 </w:instrText>
    </w:r>
    <w:r w:rsidR="00EC512C">
      <w:fldChar w:fldCharType="separate"/>
    </w:r>
    <w:r w:rsidR="00FC3F41">
      <w:rPr>
        <w:noProof/>
      </w:rPr>
      <w:t>1</w:t>
    </w:r>
    <w:r w:rsidR="00EC512C">
      <w:fldChar w:fldCharType="end"/>
    </w:r>
    <w:r w:rsidR="00EC512C">
      <w:t xml:space="preserve"> of 1</w:t>
    </w:r>
  </w:p>
  <w:p w14:paraId="5D5AD717" w14:textId="77777777" w:rsidR="002E198C" w:rsidRDefault="002E198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0FA816C" w14:textId="77777777" w:rsidR="002E198C" w:rsidRDefault="002E198C">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FE84" w14:textId="307CE6AA" w:rsidR="002E198C" w:rsidRDefault="009A573F">
    <w:pPr>
      <w:pStyle w:val="OrderHeader"/>
    </w:pPr>
    <w:r>
      <w:t>ORDER NO. PSC-2026-0258-PCO-GU</w:t>
    </w:r>
    <w:r w:rsidR="002E198C">
      <w:tab/>
    </w:r>
    <w:r w:rsidR="002E198C">
      <w:tab/>
      <w:t>Attachment B</w:t>
    </w:r>
  </w:p>
  <w:p w14:paraId="30DDE459" w14:textId="43CC2B5B" w:rsidR="002E198C" w:rsidRDefault="002E198C">
    <w:pPr>
      <w:pStyle w:val="OrderHeader"/>
    </w:pPr>
    <w:r>
      <w:t>DOCKET NO. 20260026-GU</w:t>
    </w:r>
    <w:r w:rsidR="00FE01F6">
      <w:tab/>
    </w:r>
    <w:r w:rsidR="00FE01F6">
      <w:tab/>
      <w:t xml:space="preserve">Page </w:t>
    </w:r>
    <w:r w:rsidR="00FE01F6">
      <w:fldChar w:fldCharType="begin"/>
    </w:r>
    <w:r w:rsidR="00FE01F6">
      <w:instrText xml:space="preserve"> = </w:instrText>
    </w:r>
    <w:r w:rsidR="00FE01F6">
      <w:fldChar w:fldCharType="begin"/>
    </w:r>
    <w:r w:rsidR="00FE01F6">
      <w:instrText xml:space="preserve"> PAGE </w:instrText>
    </w:r>
    <w:r w:rsidR="00FE01F6">
      <w:fldChar w:fldCharType="separate"/>
    </w:r>
    <w:r w:rsidR="00FC3F41">
      <w:rPr>
        <w:noProof/>
      </w:rPr>
      <w:instrText>9</w:instrText>
    </w:r>
    <w:r w:rsidR="00FE01F6">
      <w:fldChar w:fldCharType="end"/>
    </w:r>
    <w:r w:rsidR="00FE01F6">
      <w:instrText xml:space="preserve"> - 8 </w:instrText>
    </w:r>
    <w:r w:rsidR="00FE01F6">
      <w:fldChar w:fldCharType="separate"/>
    </w:r>
    <w:r w:rsidR="00FC3F41">
      <w:rPr>
        <w:noProof/>
      </w:rPr>
      <w:t>1</w:t>
    </w:r>
    <w:r w:rsidR="00FE01F6">
      <w:fldChar w:fldCharType="end"/>
    </w:r>
    <w:r w:rsidR="00FE01F6">
      <w:t xml:space="preserve"> of 1</w:t>
    </w:r>
  </w:p>
  <w:p w14:paraId="4B8DEE5E" w14:textId="77777777" w:rsidR="002E198C" w:rsidRDefault="002E198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FE634B" w14:textId="77777777" w:rsidR="002E198C" w:rsidRDefault="002E198C">
    <w:pPr>
      <w:pStyle w:val="Order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849A" w14:textId="6B93119D" w:rsidR="002E198C" w:rsidRDefault="009A573F">
    <w:pPr>
      <w:pStyle w:val="OrderHeader"/>
    </w:pPr>
    <w:r>
      <w:t xml:space="preserve">ORDER NO. PSC-2026-0258-PCO-GU                          </w:t>
    </w:r>
    <w:r w:rsidR="002E198C">
      <w:tab/>
      <w:t>Attachment C</w:t>
    </w:r>
  </w:p>
  <w:p w14:paraId="0418018F" w14:textId="13943E47" w:rsidR="002E198C" w:rsidRDefault="002E198C">
    <w:pPr>
      <w:pStyle w:val="OrderHeader"/>
    </w:pPr>
    <w:r>
      <w:t>DOCKET NO. 20260026-GU</w:t>
    </w:r>
    <w:r w:rsidR="00FB5722">
      <w:tab/>
    </w:r>
    <w:r w:rsidR="00FB5722">
      <w:tab/>
      <w:t xml:space="preserve">Page </w:t>
    </w:r>
    <w:r w:rsidR="00FB5722">
      <w:fldChar w:fldCharType="begin"/>
    </w:r>
    <w:r w:rsidR="00FB5722">
      <w:instrText xml:space="preserve"> = </w:instrText>
    </w:r>
    <w:r w:rsidR="00FB5722">
      <w:fldChar w:fldCharType="begin"/>
    </w:r>
    <w:r w:rsidR="00FB5722">
      <w:instrText xml:space="preserve"> PAGE </w:instrText>
    </w:r>
    <w:r w:rsidR="00FB5722">
      <w:fldChar w:fldCharType="separate"/>
    </w:r>
    <w:r w:rsidR="00FC3F41">
      <w:rPr>
        <w:noProof/>
      </w:rPr>
      <w:instrText>22</w:instrText>
    </w:r>
    <w:r w:rsidR="00FB5722">
      <w:fldChar w:fldCharType="end"/>
    </w:r>
    <w:r w:rsidR="00FB5722">
      <w:instrText xml:space="preserve"> - 9 </w:instrText>
    </w:r>
    <w:r w:rsidR="00FB5722">
      <w:fldChar w:fldCharType="separate"/>
    </w:r>
    <w:r w:rsidR="00FC3F41">
      <w:rPr>
        <w:noProof/>
      </w:rPr>
      <w:t>13</w:t>
    </w:r>
    <w:r w:rsidR="00FB5722">
      <w:fldChar w:fldCharType="end"/>
    </w:r>
    <w:r w:rsidR="00FB5722">
      <w:t xml:space="preserve"> of 15</w:t>
    </w:r>
  </w:p>
  <w:p w14:paraId="280076EF" w14:textId="77777777" w:rsidR="002E198C" w:rsidRDefault="002E198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4DF7A34" w14:textId="77777777" w:rsidR="002E198C" w:rsidRDefault="002E198C">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26-GU"/>
  </w:docVars>
  <w:rsids>
    <w:rsidRoot w:val="002E198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656B"/>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4770"/>
    <w:rsid w:val="000B783E"/>
    <w:rsid w:val="000B7AD2"/>
    <w:rsid w:val="000B7D81"/>
    <w:rsid w:val="000C1994"/>
    <w:rsid w:val="000C3236"/>
    <w:rsid w:val="000C6926"/>
    <w:rsid w:val="000D02B8"/>
    <w:rsid w:val="000D06E8"/>
    <w:rsid w:val="000D1CAB"/>
    <w:rsid w:val="000D4E6C"/>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0F7FAD"/>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0BE"/>
    <w:rsid w:val="001513DE"/>
    <w:rsid w:val="00154A71"/>
    <w:rsid w:val="001562B9"/>
    <w:rsid w:val="001655D4"/>
    <w:rsid w:val="00165803"/>
    <w:rsid w:val="00176F29"/>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98C"/>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27BF"/>
    <w:rsid w:val="00394DC6"/>
    <w:rsid w:val="00397C3E"/>
    <w:rsid w:val="003A5F8B"/>
    <w:rsid w:val="003B1A09"/>
    <w:rsid w:val="003B3B09"/>
    <w:rsid w:val="003B4F77"/>
    <w:rsid w:val="003B540D"/>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5E80"/>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68AB"/>
    <w:rsid w:val="005D4E1B"/>
    <w:rsid w:val="005E72C9"/>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143A"/>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2BDD"/>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415"/>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3F04"/>
    <w:rsid w:val="009040EE"/>
    <w:rsid w:val="009057FD"/>
    <w:rsid w:val="00906FBA"/>
    <w:rsid w:val="009163E8"/>
    <w:rsid w:val="00921BD3"/>
    <w:rsid w:val="00922325"/>
    <w:rsid w:val="009228C7"/>
    <w:rsid w:val="00922A7F"/>
    <w:rsid w:val="00923A5E"/>
    <w:rsid w:val="00924FE7"/>
    <w:rsid w:val="00926E27"/>
    <w:rsid w:val="00931C8C"/>
    <w:rsid w:val="00941AFE"/>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573F"/>
    <w:rsid w:val="009A6B17"/>
    <w:rsid w:val="009A7E5C"/>
    <w:rsid w:val="009B052E"/>
    <w:rsid w:val="009B0AE4"/>
    <w:rsid w:val="009B253D"/>
    <w:rsid w:val="009B4E00"/>
    <w:rsid w:val="009B4FCF"/>
    <w:rsid w:val="009C4300"/>
    <w:rsid w:val="009D4C29"/>
    <w:rsid w:val="009E58E9"/>
    <w:rsid w:val="009E6803"/>
    <w:rsid w:val="009F3F6C"/>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02BF"/>
    <w:rsid w:val="00A726A6"/>
    <w:rsid w:val="00A74842"/>
    <w:rsid w:val="00A81440"/>
    <w:rsid w:val="00A818AD"/>
    <w:rsid w:val="00A8269A"/>
    <w:rsid w:val="00A84E8B"/>
    <w:rsid w:val="00A86A50"/>
    <w:rsid w:val="00A9178A"/>
    <w:rsid w:val="00A92DEC"/>
    <w:rsid w:val="00A947A4"/>
    <w:rsid w:val="00A9515B"/>
    <w:rsid w:val="00A97535"/>
    <w:rsid w:val="00AA2BAA"/>
    <w:rsid w:val="00AA6516"/>
    <w:rsid w:val="00AA73E7"/>
    <w:rsid w:val="00AA73F1"/>
    <w:rsid w:val="00AB0E1A"/>
    <w:rsid w:val="00AB1A30"/>
    <w:rsid w:val="00AB3C36"/>
    <w:rsid w:val="00AB3D30"/>
    <w:rsid w:val="00AC12FC"/>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1758E"/>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21E3"/>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6BE2"/>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1AB4"/>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51"/>
    <w:rsid w:val="00DF09A7"/>
    <w:rsid w:val="00DF0DE8"/>
    <w:rsid w:val="00DF2B51"/>
    <w:rsid w:val="00E001D6"/>
    <w:rsid w:val="00E00897"/>
    <w:rsid w:val="00E03A76"/>
    <w:rsid w:val="00E04410"/>
    <w:rsid w:val="00E05D71"/>
    <w:rsid w:val="00E07484"/>
    <w:rsid w:val="00E11351"/>
    <w:rsid w:val="00E114ED"/>
    <w:rsid w:val="00E17915"/>
    <w:rsid w:val="00E33F44"/>
    <w:rsid w:val="00E37D48"/>
    <w:rsid w:val="00E4136D"/>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2BA4"/>
    <w:rsid w:val="00EA35A3"/>
    <w:rsid w:val="00EA3E6A"/>
    <w:rsid w:val="00EA69CF"/>
    <w:rsid w:val="00EB0B22"/>
    <w:rsid w:val="00EB18EF"/>
    <w:rsid w:val="00EB2D66"/>
    <w:rsid w:val="00EB58F4"/>
    <w:rsid w:val="00EB7951"/>
    <w:rsid w:val="00EC512C"/>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11C2"/>
    <w:rsid w:val="00F80685"/>
    <w:rsid w:val="00F942D5"/>
    <w:rsid w:val="00F94968"/>
    <w:rsid w:val="00FA092B"/>
    <w:rsid w:val="00FA4F6C"/>
    <w:rsid w:val="00FA6EFD"/>
    <w:rsid w:val="00FA72EA"/>
    <w:rsid w:val="00FB2A8E"/>
    <w:rsid w:val="00FB3791"/>
    <w:rsid w:val="00FB5722"/>
    <w:rsid w:val="00FB6780"/>
    <w:rsid w:val="00FB74EA"/>
    <w:rsid w:val="00FC1262"/>
    <w:rsid w:val="00FC3F41"/>
    <w:rsid w:val="00FD0ADB"/>
    <w:rsid w:val="00FD1424"/>
    <w:rsid w:val="00FD2C9E"/>
    <w:rsid w:val="00FD334A"/>
    <w:rsid w:val="00FD4786"/>
    <w:rsid w:val="00FD616C"/>
    <w:rsid w:val="00FE01F6"/>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9F0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2E198C"/>
  </w:style>
  <w:style w:type="paragraph" w:styleId="Revision">
    <w:name w:val="Revision"/>
    <w:hidden/>
    <w:uiPriority w:val="99"/>
    <w:semiHidden/>
    <w:rsid w:val="00DF0951"/>
    <w:rPr>
      <w:sz w:val="24"/>
      <w:szCs w:val="24"/>
    </w:rPr>
  </w:style>
  <w:style w:type="character" w:styleId="CommentReference">
    <w:name w:val="annotation reference"/>
    <w:basedOn w:val="DefaultParagraphFont"/>
    <w:semiHidden/>
    <w:unhideWhenUsed/>
    <w:rsid w:val="00DF0951"/>
    <w:rPr>
      <w:sz w:val="16"/>
      <w:szCs w:val="16"/>
    </w:rPr>
  </w:style>
  <w:style w:type="paragraph" w:styleId="CommentText">
    <w:name w:val="annotation text"/>
    <w:basedOn w:val="Normal"/>
    <w:link w:val="CommentTextChar"/>
    <w:unhideWhenUsed/>
    <w:rsid w:val="00DF0951"/>
    <w:rPr>
      <w:sz w:val="20"/>
      <w:szCs w:val="20"/>
    </w:rPr>
  </w:style>
  <w:style w:type="character" w:customStyle="1" w:styleId="CommentTextChar">
    <w:name w:val="Comment Text Char"/>
    <w:basedOn w:val="DefaultParagraphFont"/>
    <w:link w:val="CommentText"/>
    <w:rsid w:val="00DF0951"/>
  </w:style>
  <w:style w:type="paragraph" w:styleId="CommentSubject">
    <w:name w:val="annotation subject"/>
    <w:basedOn w:val="CommentText"/>
    <w:next w:val="CommentText"/>
    <w:link w:val="CommentSubjectChar"/>
    <w:semiHidden/>
    <w:unhideWhenUsed/>
    <w:rsid w:val="00DF0951"/>
    <w:rPr>
      <w:b/>
      <w:bCs/>
    </w:rPr>
  </w:style>
  <w:style w:type="character" w:customStyle="1" w:styleId="CommentSubjectChar">
    <w:name w:val="Comment Subject Char"/>
    <w:basedOn w:val="CommentTextChar"/>
    <w:link w:val="CommentSubject"/>
    <w:semiHidden/>
    <w:rsid w:val="00DF0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637">
      <w:bodyDiv w:val="1"/>
      <w:marLeft w:val="0"/>
      <w:marRight w:val="0"/>
      <w:marTop w:val="0"/>
      <w:marBottom w:val="0"/>
      <w:divBdr>
        <w:top w:val="none" w:sz="0" w:space="0" w:color="auto"/>
        <w:left w:val="none" w:sz="0" w:space="0" w:color="auto"/>
        <w:bottom w:val="none" w:sz="0" w:space="0" w:color="auto"/>
        <w:right w:val="none" w:sz="0" w:space="0" w:color="auto"/>
      </w:divBdr>
    </w:div>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22696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g"/><Relationship Id="rId7" Type="http://schemas.openxmlformats.org/officeDocument/2006/relationships/header" Target="header1.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2" Type="http://schemas.openxmlformats.org/officeDocument/2006/relationships/styles" Target="styles.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image" Target="media/image14.jpg"/><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image" Target="media/image1.jpg"/><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563B7-6FDB-49E6-A30D-17848A6A0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24</Pages>
  <Words>2531</Words>
  <Characters>14433</Characters>
  <Application>Microsoft Office Word</Application>
  <DocSecurity>0</DocSecurity>
  <Lines>120</Lines>
  <Paragraphs>33</Paragraphs>
  <ScaleCrop>false</ScaleCrop>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2026-07-24T13:07:00Z</dcterms:created>
  <dcterms:modified xsi:type="dcterms:W3CDTF">2026-07-24T13:33:00Z</dcterms:modified>
</cp:coreProperties>
</file>