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13BE6" w14:textId="77777777" w:rsidR="003715FD" w:rsidRDefault="003715FD" w:rsidP="003715FD">
      <w:pPr>
        <w:pStyle w:val="OrderHeading"/>
      </w:pPr>
      <w:r>
        <w:t>BEFORE THE FLORIDA PUBLIC SERVICE COMMISSION</w:t>
      </w:r>
    </w:p>
    <w:p w14:paraId="58376EFD" w14:textId="77777777" w:rsidR="003715FD" w:rsidRDefault="003715FD" w:rsidP="003715FD">
      <w:pPr>
        <w:pStyle w:val="OrderBody"/>
      </w:pPr>
    </w:p>
    <w:p w14:paraId="46F4702C" w14:textId="77777777" w:rsidR="003715FD" w:rsidRDefault="003715FD" w:rsidP="003715F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715FD" w:rsidRPr="00C63FCF" w14:paraId="2BB86798" w14:textId="77777777" w:rsidTr="00C63FCF">
        <w:trPr>
          <w:trHeight w:val="828"/>
        </w:trPr>
        <w:tc>
          <w:tcPr>
            <w:tcW w:w="4788" w:type="dxa"/>
            <w:tcBorders>
              <w:bottom w:val="single" w:sz="8" w:space="0" w:color="auto"/>
              <w:right w:val="double" w:sz="6" w:space="0" w:color="auto"/>
            </w:tcBorders>
            <w:shd w:val="clear" w:color="auto" w:fill="auto"/>
          </w:tcPr>
          <w:p w14:paraId="2A8025CC" w14:textId="734C893D" w:rsidR="003715FD" w:rsidRDefault="003715FD" w:rsidP="00C63FCF">
            <w:pPr>
              <w:pStyle w:val="OrderBody"/>
              <w:tabs>
                <w:tab w:val="center" w:pos="4320"/>
                <w:tab w:val="right" w:pos="8640"/>
              </w:tabs>
              <w:jc w:val="left"/>
            </w:pPr>
            <w:r>
              <w:t xml:space="preserve">In re: </w:t>
            </w:r>
            <w:bookmarkStart w:id="0" w:name="SSInRe"/>
            <w:bookmarkEnd w:id="0"/>
            <w:r>
              <w:t>Commission approval of Florida Telecommunications Relay, Inc.'s fiscal year 2026/2027 proposed budget.</w:t>
            </w:r>
          </w:p>
        </w:tc>
        <w:tc>
          <w:tcPr>
            <w:tcW w:w="4788" w:type="dxa"/>
            <w:tcBorders>
              <w:left w:val="double" w:sz="6" w:space="0" w:color="auto"/>
            </w:tcBorders>
            <w:shd w:val="clear" w:color="auto" w:fill="auto"/>
          </w:tcPr>
          <w:p w14:paraId="1136C679" w14:textId="5A39DBCD" w:rsidR="003715FD" w:rsidRDefault="003715FD" w:rsidP="003715FD">
            <w:pPr>
              <w:pStyle w:val="OrderBody"/>
            </w:pPr>
            <w:r>
              <w:t xml:space="preserve">DOCKET NO. </w:t>
            </w:r>
            <w:bookmarkStart w:id="1" w:name="SSDocketNo"/>
            <w:bookmarkEnd w:id="1"/>
            <w:r>
              <w:t>20260042-TP</w:t>
            </w:r>
          </w:p>
          <w:p w14:paraId="7D68CEBE" w14:textId="21CD9241" w:rsidR="003715FD" w:rsidRDefault="003715FD" w:rsidP="00C63FCF">
            <w:pPr>
              <w:pStyle w:val="OrderBody"/>
              <w:tabs>
                <w:tab w:val="center" w:pos="4320"/>
                <w:tab w:val="right" w:pos="8640"/>
              </w:tabs>
              <w:jc w:val="left"/>
            </w:pPr>
            <w:r>
              <w:t xml:space="preserve">ORDER NO. </w:t>
            </w:r>
            <w:bookmarkStart w:id="2" w:name="OrderNo0262"/>
            <w:r w:rsidR="00BB124A">
              <w:t>PSC-2026-0262-PAA-TP</w:t>
            </w:r>
            <w:bookmarkEnd w:id="2"/>
          </w:p>
          <w:p w14:paraId="38D05778" w14:textId="53DA4207" w:rsidR="003715FD" w:rsidRDefault="003715FD" w:rsidP="00C63FCF">
            <w:pPr>
              <w:pStyle w:val="OrderBody"/>
              <w:tabs>
                <w:tab w:val="center" w:pos="4320"/>
                <w:tab w:val="right" w:pos="8640"/>
              </w:tabs>
              <w:jc w:val="left"/>
            </w:pPr>
            <w:r>
              <w:t xml:space="preserve">ISSUED: </w:t>
            </w:r>
            <w:r w:rsidR="00BB124A">
              <w:t>July 27, 2026</w:t>
            </w:r>
          </w:p>
        </w:tc>
      </w:tr>
    </w:tbl>
    <w:p w14:paraId="0E02F7EE" w14:textId="77777777" w:rsidR="003715FD" w:rsidRDefault="003715FD" w:rsidP="003715FD"/>
    <w:p w14:paraId="3C1D2DD5" w14:textId="5C6AF341" w:rsidR="00CB5276" w:rsidRDefault="00D611DF" w:rsidP="003715FD">
      <w:r>
        <w:t xml:space="preserve"> </w:t>
      </w:r>
    </w:p>
    <w:p w14:paraId="6436516C" w14:textId="77777777" w:rsidR="003715FD" w:rsidRPr="008D1D5C" w:rsidRDefault="003715FD"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12DE91A6" w14:textId="77777777" w:rsidR="003715FD" w:rsidRPr="008D1D5C" w:rsidRDefault="003715FD" w:rsidP="008D1D5C">
      <w:pPr>
        <w:spacing w:line="276" w:lineRule="auto"/>
        <w:jc w:val="center"/>
        <w:rPr>
          <w:rFonts w:eastAsiaTheme="minorHAnsi" w:cstheme="minorBidi"/>
          <w:szCs w:val="22"/>
        </w:rPr>
      </w:pPr>
    </w:p>
    <w:p w14:paraId="7F8658FB" w14:textId="5DF4F30F" w:rsidR="003715FD" w:rsidRPr="008D1D5C" w:rsidRDefault="003715FD"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6010808E" w14:textId="191D60D1" w:rsidR="003715FD" w:rsidRPr="008D1D5C" w:rsidRDefault="003715FD" w:rsidP="008D1D5C">
      <w:pPr>
        <w:spacing w:line="276" w:lineRule="auto"/>
        <w:jc w:val="center"/>
        <w:rPr>
          <w:rFonts w:eastAsiaTheme="minorHAnsi" w:cstheme="minorBidi"/>
          <w:szCs w:val="22"/>
        </w:rPr>
      </w:pPr>
      <w:r>
        <w:rPr>
          <w:rFonts w:eastAsiaTheme="minorHAnsi" w:cstheme="minorBidi"/>
          <w:szCs w:val="22"/>
        </w:rPr>
        <w:t>GARY F. CLARK</w:t>
      </w:r>
    </w:p>
    <w:p w14:paraId="7420ACA9" w14:textId="1717E7A7" w:rsidR="003715FD" w:rsidRPr="008D1D5C" w:rsidRDefault="003715FD" w:rsidP="008D1D5C">
      <w:pPr>
        <w:spacing w:line="276" w:lineRule="auto"/>
        <w:jc w:val="center"/>
        <w:rPr>
          <w:rFonts w:eastAsiaTheme="minorHAnsi" w:cstheme="minorBidi"/>
          <w:szCs w:val="22"/>
        </w:rPr>
      </w:pPr>
      <w:r>
        <w:rPr>
          <w:rFonts w:eastAsiaTheme="minorHAnsi" w:cstheme="minorBidi"/>
          <w:szCs w:val="22"/>
        </w:rPr>
        <w:t>MIKE LA ROSA</w:t>
      </w:r>
    </w:p>
    <w:p w14:paraId="248CD0DF" w14:textId="0B1EAE37" w:rsidR="003715FD" w:rsidRPr="008D1D5C" w:rsidRDefault="003715FD" w:rsidP="008D1D5C">
      <w:pPr>
        <w:spacing w:line="276" w:lineRule="auto"/>
        <w:jc w:val="center"/>
        <w:rPr>
          <w:rFonts w:eastAsiaTheme="minorHAnsi" w:cstheme="minorBidi"/>
          <w:szCs w:val="22"/>
        </w:rPr>
      </w:pPr>
      <w:r>
        <w:rPr>
          <w:rFonts w:eastAsiaTheme="minorHAnsi" w:cstheme="minorBidi"/>
          <w:szCs w:val="22"/>
        </w:rPr>
        <w:t>BOBBY PAYNE</w:t>
      </w:r>
    </w:p>
    <w:p w14:paraId="4935D00E" w14:textId="330E1E77" w:rsidR="003715FD" w:rsidRPr="008D1D5C" w:rsidRDefault="003715FD" w:rsidP="008D1D5C">
      <w:pPr>
        <w:spacing w:line="276" w:lineRule="auto"/>
        <w:jc w:val="center"/>
        <w:rPr>
          <w:rFonts w:eastAsiaTheme="minorHAnsi" w:cstheme="minorBidi"/>
          <w:szCs w:val="22"/>
        </w:rPr>
      </w:pPr>
      <w:r>
        <w:rPr>
          <w:rFonts w:eastAsiaTheme="minorHAnsi" w:cstheme="minorBidi"/>
          <w:szCs w:val="22"/>
        </w:rPr>
        <w:t>ANA ORTEGA</w:t>
      </w:r>
    </w:p>
    <w:p w14:paraId="271EA6E2" w14:textId="77777777" w:rsidR="003715FD" w:rsidRDefault="003715FD" w:rsidP="003715FD">
      <w:pPr>
        <w:pStyle w:val="OrderBody"/>
      </w:pPr>
    </w:p>
    <w:p w14:paraId="675C45DB" w14:textId="77777777" w:rsidR="003715FD" w:rsidRDefault="003715FD" w:rsidP="003715FD">
      <w:pPr>
        <w:pStyle w:val="OrderBody"/>
      </w:pPr>
    </w:p>
    <w:bookmarkStart w:id="4" w:name="OrderText"/>
    <w:bookmarkEnd w:id="4"/>
    <w:p w14:paraId="22EE2DD8" w14:textId="3B66A3C6" w:rsidR="003715FD" w:rsidRPr="003E4B2D" w:rsidRDefault="003715FD">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73D4ACFA" w14:textId="77777777" w:rsidR="00686F0F" w:rsidRDefault="003715FD" w:rsidP="00686F0F">
      <w:pPr>
        <w:pStyle w:val="OrderBody"/>
        <w:jc w:val="center"/>
        <w:rPr>
          <w:u w:val="single"/>
        </w:rPr>
      </w:pPr>
      <w:r w:rsidRPr="003E4B2D">
        <w:rPr>
          <w:u w:val="single"/>
        </w:rPr>
        <w:t>ORDER</w:t>
      </w:r>
      <w:bookmarkStart w:id="5" w:name="OrderTitle"/>
      <w:r w:rsidR="00686F0F">
        <w:rPr>
          <w:u w:val="single"/>
        </w:rPr>
        <w:t xml:space="preserve"> APPROVING FLORIDA TELECOMMUNICATIONS RELAY INC.’S</w:t>
      </w:r>
    </w:p>
    <w:p w14:paraId="26617CC8" w14:textId="7E894079" w:rsidR="003715FD" w:rsidRPr="003E4B2D" w:rsidRDefault="00686F0F" w:rsidP="00686F0F">
      <w:pPr>
        <w:pStyle w:val="OrderBody"/>
        <w:jc w:val="center"/>
        <w:rPr>
          <w:u w:val="single"/>
        </w:rPr>
      </w:pPr>
      <w:r>
        <w:rPr>
          <w:u w:val="single"/>
        </w:rPr>
        <w:t>FISCAL YEAR 2026/2027 BUDGET</w:t>
      </w:r>
      <w:r w:rsidR="003715FD">
        <w:rPr>
          <w:u w:val="single"/>
        </w:rPr>
        <w:t xml:space="preserve"> </w:t>
      </w:r>
      <w:bookmarkEnd w:id="5"/>
    </w:p>
    <w:p w14:paraId="04FCB8CF" w14:textId="77777777" w:rsidR="003715FD" w:rsidRPr="003E4B2D" w:rsidRDefault="003715FD">
      <w:pPr>
        <w:pStyle w:val="OrderBody"/>
      </w:pPr>
    </w:p>
    <w:p w14:paraId="6E4AA0DB" w14:textId="77777777" w:rsidR="003715FD" w:rsidRPr="003E4B2D" w:rsidRDefault="003715FD">
      <w:pPr>
        <w:pStyle w:val="OrderBody"/>
      </w:pPr>
    </w:p>
    <w:p w14:paraId="4009F296" w14:textId="77777777" w:rsidR="003715FD" w:rsidRPr="003E4B2D" w:rsidRDefault="003715FD">
      <w:pPr>
        <w:pStyle w:val="OrderBody"/>
      </w:pPr>
      <w:r w:rsidRPr="003E4B2D">
        <w:t>BY THE COMMISSION:</w:t>
      </w:r>
    </w:p>
    <w:p w14:paraId="58AC363D" w14:textId="77777777" w:rsidR="003715FD" w:rsidRPr="003E4B2D" w:rsidRDefault="003715FD">
      <w:pPr>
        <w:pStyle w:val="OrderBody"/>
      </w:pPr>
    </w:p>
    <w:p w14:paraId="61A9A284" w14:textId="77777777" w:rsidR="003715FD" w:rsidRDefault="003715FD">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6C3A243C" w14:textId="77777777" w:rsidR="00CB5276" w:rsidRDefault="00CB5276" w:rsidP="003715FD"/>
    <w:p w14:paraId="4622944F" w14:textId="77777777" w:rsidR="003715FD" w:rsidRPr="00692EBC" w:rsidRDefault="003715FD" w:rsidP="003715FD">
      <w:r w:rsidRPr="00692EBC">
        <w:t>BY THE COMMISSION:</w:t>
      </w:r>
    </w:p>
    <w:p w14:paraId="37A08253" w14:textId="77777777" w:rsidR="003715FD" w:rsidRDefault="003715FD" w:rsidP="003715FD"/>
    <w:p w14:paraId="186F9C5B" w14:textId="197927CD" w:rsidR="007465E2" w:rsidRPr="00C21706" w:rsidRDefault="007465E2" w:rsidP="007465E2">
      <w:pPr>
        <w:pStyle w:val="RecommendationMajorSectionHeading"/>
        <w:rPr>
          <w:rFonts w:ascii="Times New Roman" w:hAnsi="Times New Roman" w:cs="Times New Roman"/>
        </w:rPr>
      </w:pPr>
      <w:r w:rsidRPr="00C21706">
        <w:rPr>
          <w:rFonts w:ascii="Times New Roman" w:hAnsi="Times New Roman" w:cs="Times New Roman"/>
        </w:rPr>
        <w:t>Background</w:t>
      </w:r>
      <w:r w:rsidRPr="00C21706">
        <w:rPr>
          <w:rFonts w:ascii="Times New Roman" w:hAnsi="Times New Roman" w:cs="Times New Roman"/>
        </w:rPr>
        <w:fldChar w:fldCharType="begin"/>
      </w:r>
      <w:r w:rsidRPr="00C21706">
        <w:rPr>
          <w:rFonts w:ascii="Times New Roman" w:hAnsi="Times New Roman" w:cs="Times New Roman"/>
        </w:rPr>
        <w:instrText xml:space="preserve"> TC  "</w:instrText>
      </w:r>
      <w:r w:rsidRPr="00C21706">
        <w:rPr>
          <w:rFonts w:ascii="Times New Roman" w:hAnsi="Times New Roman" w:cs="Times New Roman"/>
        </w:rPr>
        <w:tab/>
      </w:r>
      <w:bookmarkStart w:id="6" w:name="_Toc94516455"/>
      <w:r w:rsidRPr="00C21706">
        <w:rPr>
          <w:rFonts w:ascii="Times New Roman" w:hAnsi="Times New Roman" w:cs="Times New Roman"/>
        </w:rPr>
        <w:instrText>Case Background</w:instrText>
      </w:r>
      <w:bookmarkEnd w:id="6"/>
      <w:r w:rsidRPr="00C21706">
        <w:rPr>
          <w:rFonts w:ascii="Times New Roman" w:hAnsi="Times New Roman" w:cs="Times New Roman"/>
        </w:rPr>
        <w:instrText xml:space="preserve">" \l 1 </w:instrText>
      </w:r>
      <w:r w:rsidRPr="00C21706">
        <w:rPr>
          <w:rFonts w:ascii="Times New Roman" w:hAnsi="Times New Roman" w:cs="Times New Roman"/>
        </w:rPr>
        <w:fldChar w:fldCharType="end"/>
      </w:r>
    </w:p>
    <w:p w14:paraId="0CCDFE91" w14:textId="77777777" w:rsidR="007465E2" w:rsidRDefault="007465E2" w:rsidP="00C21706">
      <w:pPr>
        <w:pStyle w:val="BodyText"/>
        <w:ind w:firstLine="720"/>
        <w:jc w:val="both"/>
      </w:pPr>
      <w:r>
        <w:t xml:space="preserve">The Telecommunications Access System Act of 1991 (TASA) established a statewide telecommunications relay system. Under TASA, the Florida Public Service Commission (Commission) must establish, implement, promote, and oversee the statewide telecommunications access system, which is intended to provide telecommunications service for deaf, hard of hearing, or speech impaired persons that is functionally equivalent to the service provided to hearing persons. TASA provides for the purchase and distribution of specialized telecommunications devices </w:t>
      </w:r>
      <w:bookmarkStart w:id="7" w:name="_Hlk231918719"/>
      <w:r>
        <w:t xml:space="preserve">and </w:t>
      </w:r>
      <w:r w:rsidRPr="00D02EF3">
        <w:t>specialized communications technology</w:t>
      </w:r>
      <w:bookmarkEnd w:id="7"/>
      <w:r>
        <w:t xml:space="preserve"> as defined in Chapter 427, Florida Statutes (F.S.). </w:t>
      </w:r>
    </w:p>
    <w:p w14:paraId="4A2F6C7C" w14:textId="168689DA" w:rsidR="007465E2" w:rsidRDefault="007465E2" w:rsidP="00C21706">
      <w:pPr>
        <w:pStyle w:val="BodyText"/>
        <w:ind w:firstLine="720"/>
        <w:jc w:val="both"/>
      </w:pPr>
      <w:r>
        <w:t>T</w:t>
      </w:r>
      <w:r w:rsidR="00C21706">
        <w:t>ASA</w:t>
      </w:r>
      <w:r>
        <w:t xml:space="preserve"> provides deaf or hard of hearing persons access to basic telecommunications services by using a specialized Communications Assistant that relays information between the deaf or hard of hearing person and the other party to the call. The primary function of the telecommunications access system is accomplished using a Telecommunications Device for the </w:t>
      </w:r>
      <w:r>
        <w:lastRenderedPageBreak/>
        <w:t>Deaf (TDD). The person using the TDD types a message to the Communications Assistant who in turn voices the message to the other party or types the message to a Captioned Telephone that displays real-time captions of the conversation.</w:t>
      </w:r>
    </w:p>
    <w:p w14:paraId="1861A1BF" w14:textId="3671A52B" w:rsidR="007465E2" w:rsidRDefault="007465E2" w:rsidP="00C21706">
      <w:pPr>
        <w:pStyle w:val="BodyText"/>
        <w:ind w:firstLine="720"/>
        <w:jc w:val="both"/>
      </w:pPr>
      <w:r w:rsidRPr="0057440D">
        <w:t xml:space="preserve">In 2025, the Legislature amended Sections 427.702 through 427.706, F.S. relating to </w:t>
      </w:r>
      <w:r>
        <w:t>TASA</w:t>
      </w:r>
      <w:r w:rsidRPr="0057440D">
        <w:t>.</w:t>
      </w:r>
      <w:r>
        <w:rPr>
          <w:rStyle w:val="FootnoteReference"/>
        </w:rPr>
        <w:footnoteReference w:id="1"/>
      </w:r>
      <w:r w:rsidRPr="0057440D">
        <w:t xml:space="preserve"> </w:t>
      </w:r>
      <w:r>
        <w:t>T</w:t>
      </w:r>
      <w:r w:rsidRPr="009679D2">
        <w:t xml:space="preserve">hese statutory changes </w:t>
      </w:r>
      <w:r>
        <w:t xml:space="preserve">added newly defined </w:t>
      </w:r>
      <w:r w:rsidRPr="009679D2">
        <w:t>specialized communications technology and require</w:t>
      </w:r>
      <w:r>
        <w:t>s</w:t>
      </w:r>
      <w:r w:rsidRPr="009679D2">
        <w:t xml:space="preserve"> </w:t>
      </w:r>
      <w:r w:rsidR="00CB55F8">
        <w:t>us</w:t>
      </w:r>
      <w:r w:rsidRPr="009679D2">
        <w:t xml:space="preserve"> to set eligibility requirements for </w:t>
      </w:r>
      <w:r>
        <w:t xml:space="preserve">this </w:t>
      </w:r>
      <w:r w:rsidRPr="009679D2">
        <w:t>distribution</w:t>
      </w:r>
      <w:r>
        <w:t xml:space="preserve">. </w:t>
      </w:r>
      <w:r w:rsidRPr="0072114A">
        <w:t xml:space="preserve">Section 427.704(e), F.S. mandates that the eligibility requirements be based on income qualifications of no less than double, but no more than triple, the federal poverty level, or participation in other state or federal programs based on income. </w:t>
      </w:r>
      <w:r w:rsidR="00CB55F8">
        <w:t>We</w:t>
      </w:r>
      <w:r>
        <w:t xml:space="preserve"> adopted rules setting these eligibility criteria, which became effective on December 2, 2025.</w:t>
      </w:r>
      <w:r w:rsidRPr="00EC7F7F">
        <w:t xml:space="preserve"> </w:t>
      </w:r>
      <w:r>
        <w:t>The eligibility requirements in the rule include income of less than 250 percent of the federal poverty level, or participation in the Supplemental Nutrition Assistance Program, Medicaid, Supplemental Security Income, the Section 8 Housing Choice Voucher Program, or receipt of either a Veterans Pension or Survivors Pension from the Department of Veterans Affairs.</w:t>
      </w:r>
    </w:p>
    <w:p w14:paraId="7486E7E9" w14:textId="24BBD630" w:rsidR="007465E2" w:rsidRDefault="007465E2" w:rsidP="00C21706">
      <w:pPr>
        <w:pStyle w:val="BodyText"/>
        <w:ind w:firstLine="720"/>
        <w:jc w:val="both"/>
      </w:pPr>
      <w:bookmarkStart w:id="8" w:name="_Hlk234414102"/>
      <w:r>
        <w:t>Florida Telecommunications Relay, Inc.</w:t>
      </w:r>
      <w:bookmarkEnd w:id="8"/>
      <w:r>
        <w:t xml:space="preserve"> (FTRI), a nonprofit corporation formed by the local exchange telephone companies, was selected by</w:t>
      </w:r>
      <w:r w:rsidR="00CB55F8">
        <w:t xml:space="preserve"> us </w:t>
      </w:r>
      <w:r>
        <w:t xml:space="preserve">to serve as the telecommunications access system administrator. FTRI is primarily responsible for the purchase and distribution of specialized telecommunications equipment and </w:t>
      </w:r>
      <w:r w:rsidRPr="00D02EF3">
        <w:t>specialized communications technology</w:t>
      </w:r>
      <w:r>
        <w:t xml:space="preserve">. As part of this process, FTRI contracts with other organizations to assist in the distribution of equipment and provide customer training on the proper use of the equipment and the relay service. FTRI also conducts marketing to raise awareness of available equipment and relay service. Finally, FTRI pays the Telecommunications Relay Service (TRS) provider, which is selected by </w:t>
      </w:r>
      <w:r w:rsidR="00CB55F8">
        <w:t>us</w:t>
      </w:r>
      <w:r>
        <w:t xml:space="preserve"> through a request for proposals process. The current TRS provider is T-Mobile USA, Inc. (T-Mobile).</w:t>
      </w:r>
    </w:p>
    <w:p w14:paraId="767BD971" w14:textId="15F77BD5" w:rsidR="007465E2" w:rsidRDefault="007465E2" w:rsidP="00C21706">
      <w:pPr>
        <w:pStyle w:val="BodyText"/>
        <w:ind w:firstLine="720"/>
        <w:jc w:val="both"/>
      </w:pPr>
      <w:r>
        <w:t xml:space="preserve">FTRI is funded through the TRS surcharge, which local exchange telecommunications companies are required to collect and remit to FTRI. </w:t>
      </w:r>
      <w:r w:rsidR="00CB55F8">
        <w:t>We</w:t>
      </w:r>
      <w:r>
        <w:t xml:space="preserve"> ha</w:t>
      </w:r>
      <w:r w:rsidR="00CB55F8">
        <w:t>ve</w:t>
      </w:r>
      <w:r>
        <w:t xml:space="preserve"> historically changed the surcharge to meet FTRI’s budgetary needs. The monthly surcharge is currently $0.08 per access line, for up to 25 lines per customer.</w:t>
      </w:r>
    </w:p>
    <w:p w14:paraId="0851B160" w14:textId="53A37AE6" w:rsidR="007465E2" w:rsidRDefault="007465E2" w:rsidP="00C21706">
      <w:pPr>
        <w:pStyle w:val="BodyText"/>
        <w:ind w:firstLine="720"/>
        <w:jc w:val="both"/>
      </w:pPr>
      <w:r>
        <w:t xml:space="preserve">As part of </w:t>
      </w:r>
      <w:r w:rsidR="008A11E7">
        <w:t>our</w:t>
      </w:r>
      <w:r>
        <w:t xml:space="preserve"> oversight responsibilities of the telecommunications access system, </w:t>
      </w:r>
      <w:r w:rsidR="00CB55F8">
        <w:t>we</w:t>
      </w:r>
      <w:r>
        <w:t xml:space="preserve"> review and approve a budget submitted by FTRI on an annual basis. On March 16, 2026, FTRI submitted its Fiscal Year 2026/2027 budget. On May 29, 2026, FTRI submitted responses to </w:t>
      </w:r>
      <w:r w:rsidR="00CB55F8">
        <w:t xml:space="preserve">our </w:t>
      </w:r>
      <w:r>
        <w:t xml:space="preserve">staff’s first data request along with a revised budget for </w:t>
      </w:r>
      <w:r w:rsidR="00CB55F8">
        <w:t>our</w:t>
      </w:r>
      <w:r>
        <w:t xml:space="preserve"> consideration</w:t>
      </w:r>
      <w:r w:rsidR="008A11E7">
        <w:t>.</w:t>
      </w:r>
      <w:r>
        <w:t xml:space="preserve"> </w:t>
      </w:r>
      <w:r w:rsidR="008A11E7">
        <w:t>This revised budget is appended hereto as Attachment A and is incorporated by this reference.</w:t>
      </w:r>
      <w:r>
        <w:t xml:space="preserve"> FTRI provided a comparison of its proposed budget to </w:t>
      </w:r>
      <w:r w:rsidR="00CB55F8">
        <w:t xml:space="preserve">our </w:t>
      </w:r>
      <w:r>
        <w:t xml:space="preserve">approved 2025/2026 budget, as well as its estimated revenue and expenses for the current fiscal year. FTRI estimated its revenue and expenses based on actual data from the first two quarters and estimated data for the remainder of the year. </w:t>
      </w:r>
    </w:p>
    <w:p w14:paraId="30B55245" w14:textId="77777777" w:rsidR="008A11E7" w:rsidRDefault="008A11E7" w:rsidP="008A11E7">
      <w:pPr>
        <w:ind w:firstLine="720"/>
        <w:jc w:val="both"/>
      </w:pPr>
      <w:r>
        <w:t>On May 29, 2026, FTRI also filed third quarter financial information. With this updated information, we formulated an estimate of FTRI’s expenses for Fiscal Year 2025/2026. This estimate along with a comparison of FTRI’s proposed and approved budgets is contained in Attachment B, which is incorporated by this reference.</w:t>
      </w:r>
    </w:p>
    <w:p w14:paraId="621E106F" w14:textId="77777777" w:rsidR="007465E2" w:rsidRDefault="007465E2" w:rsidP="002C30B9">
      <w:pPr>
        <w:jc w:val="both"/>
      </w:pPr>
    </w:p>
    <w:p w14:paraId="01762F1B" w14:textId="79645ABA" w:rsidR="007465E2" w:rsidRDefault="007465E2" w:rsidP="008A11E7">
      <w:pPr>
        <w:ind w:firstLine="720"/>
        <w:jc w:val="both"/>
      </w:pPr>
      <w:r>
        <w:lastRenderedPageBreak/>
        <w:t xml:space="preserve">This </w:t>
      </w:r>
      <w:r w:rsidR="00C21706">
        <w:t>Order</w:t>
      </w:r>
      <w:r>
        <w:t xml:space="preserve"> addresses FTRI’s proposed budget and TRS surcharge for Fiscal Year 2026/2027.</w:t>
      </w:r>
      <w:r w:rsidR="00C21706">
        <w:t xml:space="preserve"> </w:t>
      </w:r>
      <w:r>
        <w:t xml:space="preserve">The TRS surcharge is the only rate </w:t>
      </w:r>
      <w:r w:rsidR="00CB55F8">
        <w:t xml:space="preserve">we </w:t>
      </w:r>
      <w:r>
        <w:t>establish for telecommunications companies. The Commission is vested with jurisdiction over this matter pursuant to Chapter 427, F.S.</w:t>
      </w:r>
    </w:p>
    <w:p w14:paraId="122FA84C" w14:textId="77777777" w:rsidR="007465E2" w:rsidRDefault="007465E2" w:rsidP="002C30B9">
      <w:pPr>
        <w:jc w:val="both"/>
      </w:pPr>
    </w:p>
    <w:p w14:paraId="4F736505" w14:textId="06D266B8" w:rsidR="007465E2" w:rsidRPr="000A58D6" w:rsidRDefault="000A58D6" w:rsidP="000A58D6">
      <w:pPr>
        <w:pStyle w:val="RecommendationMajorSectionHeading"/>
        <w:rPr>
          <w:rFonts w:ascii="Times New Roman" w:hAnsi="Times New Roman" w:cs="Times New Roman"/>
        </w:rPr>
      </w:pPr>
      <w:bookmarkStart w:id="9" w:name="DiscussionOfIssues"/>
      <w:r w:rsidRPr="000A58D6">
        <w:rPr>
          <w:rFonts w:ascii="Times New Roman" w:hAnsi="Times New Roman" w:cs="Times New Roman"/>
        </w:rPr>
        <w:t>Analysis</w:t>
      </w:r>
      <w:r w:rsidR="008A11E7">
        <w:rPr>
          <w:rFonts w:ascii="Times New Roman" w:hAnsi="Times New Roman" w:cs="Times New Roman"/>
        </w:rPr>
        <w:t xml:space="preserve"> </w:t>
      </w:r>
      <w:r w:rsidR="008A11E7" w:rsidRPr="000A58D6">
        <w:rPr>
          <w:rFonts w:ascii="Times New Roman" w:hAnsi="Times New Roman" w:cs="Times New Roman"/>
        </w:rPr>
        <w:t>and</w:t>
      </w:r>
      <w:r w:rsidR="008A11E7">
        <w:rPr>
          <w:rFonts w:ascii="Times New Roman" w:hAnsi="Times New Roman" w:cs="Times New Roman"/>
        </w:rPr>
        <w:t xml:space="preserve"> </w:t>
      </w:r>
      <w:r w:rsidR="008A11E7" w:rsidRPr="000A58D6">
        <w:rPr>
          <w:rFonts w:ascii="Times New Roman" w:hAnsi="Times New Roman" w:cs="Times New Roman"/>
        </w:rPr>
        <w:t>Decision</w:t>
      </w:r>
    </w:p>
    <w:bookmarkEnd w:id="9"/>
    <w:p w14:paraId="22A5E7C0" w14:textId="3F22AC0F" w:rsidR="000A58D6" w:rsidRPr="000A58D6" w:rsidRDefault="00CB55F8" w:rsidP="00CB5CFC">
      <w:pPr>
        <w:pStyle w:val="BodyText"/>
        <w:numPr>
          <w:ilvl w:val="0"/>
          <w:numId w:val="3"/>
        </w:numPr>
        <w:spacing w:after="0"/>
        <w:ind w:left="360"/>
        <w:rPr>
          <w:u w:val="single"/>
        </w:rPr>
      </w:pPr>
      <w:r w:rsidRPr="000A58D6">
        <w:rPr>
          <w:u w:val="single"/>
        </w:rPr>
        <w:t>FTRI’s Fiscal</w:t>
      </w:r>
      <w:r w:rsidR="007465E2" w:rsidRPr="000A58D6">
        <w:rPr>
          <w:u w:val="single"/>
        </w:rPr>
        <w:t xml:space="preserve"> Year 2026/2027 </w:t>
      </w:r>
      <w:r w:rsidR="00812E15">
        <w:rPr>
          <w:u w:val="single"/>
        </w:rPr>
        <w:t xml:space="preserve">Proposed Budget </w:t>
      </w:r>
      <w:r w:rsidR="000A58D6" w:rsidRPr="000A58D6">
        <w:rPr>
          <w:u w:val="single"/>
        </w:rPr>
        <w:t>is Approved</w:t>
      </w:r>
    </w:p>
    <w:p w14:paraId="5325DA78" w14:textId="3C2CEDA7" w:rsidR="007465E2" w:rsidRDefault="007465E2" w:rsidP="000A58D6">
      <w:pPr>
        <w:pStyle w:val="BodyText"/>
        <w:spacing w:after="0"/>
        <w:jc w:val="both"/>
      </w:pPr>
      <w:r>
        <w:t> </w:t>
      </w:r>
    </w:p>
    <w:p w14:paraId="6E3B00FD" w14:textId="77777777" w:rsidR="007465E2" w:rsidRDefault="007465E2" w:rsidP="002C30B9">
      <w:pPr>
        <w:pStyle w:val="BodyText"/>
        <w:spacing w:after="0"/>
        <w:jc w:val="both"/>
        <w:rPr>
          <w:b/>
        </w:rPr>
      </w:pPr>
      <w:r w:rsidRPr="00CB5CFC">
        <w:rPr>
          <w:b/>
        </w:rPr>
        <w:t>Traditional Telecommunications Relay Service</w:t>
      </w:r>
    </w:p>
    <w:p w14:paraId="6B9C0D24" w14:textId="77777777" w:rsidR="00CB5CFC" w:rsidRPr="00CB5CFC" w:rsidRDefault="00CB5CFC" w:rsidP="002C30B9">
      <w:pPr>
        <w:pStyle w:val="BodyText"/>
        <w:spacing w:after="0"/>
        <w:jc w:val="both"/>
        <w:rPr>
          <w:b/>
        </w:rPr>
      </w:pPr>
    </w:p>
    <w:p w14:paraId="68A1CA1E" w14:textId="77777777" w:rsidR="007465E2" w:rsidRDefault="007465E2" w:rsidP="000A58D6">
      <w:pPr>
        <w:ind w:firstLine="360"/>
        <w:jc w:val="both"/>
      </w:pPr>
      <w:r>
        <w:t xml:space="preserve">Traditional TRS cost as approved in the T-Mobile contract is currently $2.58 per session minute. T-Mobile’s projections indicate traditional TRS minutes of use during Fiscal Year 2026/2027 will be 297,506. </w:t>
      </w:r>
      <w:bookmarkStart w:id="10" w:name="_Hlk233108889"/>
      <w:r w:rsidRPr="00AF1A70">
        <w:t xml:space="preserve">By comparison, </w:t>
      </w:r>
      <w:r>
        <w:t xml:space="preserve">T-Mobile’s projections for traditional TRS minutes of use for Fiscal Year 2025/2026 was 467,554. Further, </w:t>
      </w:r>
      <w:r w:rsidRPr="00AF1A70">
        <w:t xml:space="preserve">TRS usage totaled 510,081 </w:t>
      </w:r>
      <w:r>
        <w:t xml:space="preserve">actual </w:t>
      </w:r>
      <w:r w:rsidRPr="00AF1A70">
        <w:t xml:space="preserve">minutes in Fiscal Year 2024/2025, representing a 14 percent decline from </w:t>
      </w:r>
      <w:r>
        <w:t>Fiscal Year 2023/2024 actual minutes</w:t>
      </w:r>
      <w:r w:rsidRPr="00AF1A70">
        <w:t>.</w:t>
      </w:r>
    </w:p>
    <w:bookmarkEnd w:id="10"/>
    <w:p w14:paraId="21D3C36E" w14:textId="77777777" w:rsidR="007465E2" w:rsidRDefault="007465E2" w:rsidP="002C30B9">
      <w:pPr>
        <w:jc w:val="both"/>
      </w:pPr>
    </w:p>
    <w:p w14:paraId="53FD2754" w14:textId="77777777" w:rsidR="007465E2" w:rsidRDefault="007465E2" w:rsidP="000A58D6">
      <w:pPr>
        <w:ind w:firstLine="360"/>
        <w:jc w:val="both"/>
      </w:pPr>
      <w:r>
        <w:t>B</w:t>
      </w:r>
      <w:r w:rsidRPr="002675B8">
        <w:t>ased on continued advance</w:t>
      </w:r>
      <w:r>
        <w:t xml:space="preserve">ments in technology and </w:t>
      </w:r>
      <w:r w:rsidRPr="002675B8">
        <w:t>th</w:t>
      </w:r>
      <w:r>
        <w:t xml:space="preserve">e expansion of consumer choice, it is anticipated that TRS minutes of use will continue to decline. It has been observed that traditional TRS users are transitioning to the following services: </w:t>
      </w:r>
    </w:p>
    <w:p w14:paraId="31DAAF96" w14:textId="77777777" w:rsidR="007465E2" w:rsidRDefault="007465E2" w:rsidP="002C30B9">
      <w:pPr>
        <w:pStyle w:val="BodyText"/>
        <w:spacing w:after="0"/>
        <w:jc w:val="both"/>
      </w:pPr>
    </w:p>
    <w:p w14:paraId="2D8EE0D0" w14:textId="77777777" w:rsidR="007465E2" w:rsidRDefault="007465E2" w:rsidP="002C30B9">
      <w:pPr>
        <w:pStyle w:val="BodyText"/>
        <w:numPr>
          <w:ilvl w:val="0"/>
          <w:numId w:val="1"/>
        </w:numPr>
        <w:spacing w:after="0"/>
        <w:jc w:val="both"/>
      </w:pPr>
      <w:r>
        <w:t>IP Relay</w:t>
      </w:r>
    </w:p>
    <w:p w14:paraId="5D5364CD" w14:textId="77777777" w:rsidR="007465E2" w:rsidRDefault="007465E2" w:rsidP="002C30B9">
      <w:pPr>
        <w:pStyle w:val="BodyText"/>
        <w:numPr>
          <w:ilvl w:val="0"/>
          <w:numId w:val="1"/>
        </w:numPr>
        <w:spacing w:after="0"/>
        <w:jc w:val="both"/>
      </w:pPr>
      <w:r>
        <w:t>IP CTS</w:t>
      </w:r>
    </w:p>
    <w:p w14:paraId="634EF31F" w14:textId="77777777" w:rsidR="007465E2" w:rsidRDefault="007465E2" w:rsidP="002C30B9">
      <w:pPr>
        <w:pStyle w:val="BodyText"/>
        <w:numPr>
          <w:ilvl w:val="0"/>
          <w:numId w:val="1"/>
        </w:numPr>
        <w:spacing w:after="0"/>
        <w:jc w:val="both"/>
      </w:pPr>
      <w:r>
        <w:t>Wireless Service</w:t>
      </w:r>
    </w:p>
    <w:p w14:paraId="66D1E69E" w14:textId="77777777" w:rsidR="007465E2" w:rsidRDefault="007465E2" w:rsidP="002C30B9">
      <w:pPr>
        <w:pStyle w:val="BodyText"/>
        <w:spacing w:after="0"/>
        <w:jc w:val="both"/>
      </w:pPr>
    </w:p>
    <w:p w14:paraId="1D892CFE" w14:textId="77777777" w:rsidR="007465E2" w:rsidRDefault="007465E2" w:rsidP="002C30B9">
      <w:pPr>
        <w:pStyle w:val="BodyText"/>
        <w:spacing w:after="0"/>
        <w:jc w:val="both"/>
        <w:rPr>
          <w:b/>
        </w:rPr>
      </w:pPr>
      <w:r w:rsidRPr="00CB5CFC">
        <w:rPr>
          <w:b/>
        </w:rPr>
        <w:t xml:space="preserve">Florida Telecommunications Relay, Inc. Budget </w:t>
      </w:r>
    </w:p>
    <w:p w14:paraId="551BF318" w14:textId="77777777" w:rsidR="00CB5CFC" w:rsidRPr="00CB5CFC" w:rsidRDefault="00CB5CFC" w:rsidP="002C30B9">
      <w:pPr>
        <w:pStyle w:val="BodyText"/>
        <w:spacing w:after="0"/>
        <w:jc w:val="both"/>
        <w:rPr>
          <w:b/>
        </w:rPr>
      </w:pPr>
    </w:p>
    <w:p w14:paraId="71142135" w14:textId="77777777" w:rsidR="008A11E7" w:rsidRDefault="008A11E7" w:rsidP="008A11E7">
      <w:pPr>
        <w:pStyle w:val="BodyText"/>
        <w:spacing w:after="0"/>
        <w:ind w:firstLine="720"/>
        <w:jc w:val="both"/>
      </w:pPr>
      <w:r>
        <w:t>Attachment A reflects FTRI’s Fiscal Year 2026/2027 proposed budget filed with the Commission, which was reviewed and adopted by FTRI’s Board of Directors. FTRI proposed maintaining the current $.08 surcharge per access line, which would result in total surcharge revenue of $1,565,015. FTRI projected $674,325 in interest income during Fiscal Year 2026/2027 through investments in its Investment Trust Money Market account and 3-month T-bills. As a result, FTRI’s total operating revenue was estimated to be $2,239,340. FTRI projected total expenses of $4,694,189 in its proposed budget. Based on FTRI’s projected revenue and expenses, it would need to transfer $2,454,849 from the Reserve Account to offset the shortfall. FTRI has a Reserve Account of approximately $19,723,369 million.</w:t>
      </w:r>
    </w:p>
    <w:p w14:paraId="51D8621C" w14:textId="77777777" w:rsidR="007465E2" w:rsidRDefault="007465E2" w:rsidP="002C30B9">
      <w:pPr>
        <w:pStyle w:val="BodyText"/>
        <w:spacing w:after="0"/>
        <w:jc w:val="both"/>
      </w:pPr>
    </w:p>
    <w:p w14:paraId="75389E11" w14:textId="77777777" w:rsidR="007465E2" w:rsidRDefault="007465E2" w:rsidP="002C30B9">
      <w:pPr>
        <w:jc w:val="both"/>
        <w:rPr>
          <w:b/>
        </w:rPr>
      </w:pPr>
      <w:r w:rsidRPr="00CB5CFC">
        <w:rPr>
          <w:b/>
        </w:rPr>
        <w:t>Analysis</w:t>
      </w:r>
    </w:p>
    <w:p w14:paraId="519626D2" w14:textId="77777777" w:rsidR="00CB5CFC" w:rsidRPr="00CB5CFC" w:rsidRDefault="00CB5CFC" w:rsidP="002C30B9">
      <w:pPr>
        <w:jc w:val="both"/>
        <w:rPr>
          <w:b/>
        </w:rPr>
      </w:pPr>
    </w:p>
    <w:p w14:paraId="5068D4D2" w14:textId="380B0213" w:rsidR="007465E2" w:rsidRDefault="007465E2" w:rsidP="000A58D6">
      <w:pPr>
        <w:pStyle w:val="BodyText"/>
        <w:spacing w:after="0"/>
        <w:ind w:firstLine="720"/>
        <w:jc w:val="both"/>
      </w:pPr>
      <w:r w:rsidRPr="00BC7B39">
        <w:t>The two primary factors contributing to FTRI’s proposed budget shortfall are continued declines in access lines</w:t>
      </w:r>
      <w:r>
        <w:t>, upon which the surcharge is assessed,</w:t>
      </w:r>
      <w:r w:rsidRPr="00BC7B39">
        <w:t xml:space="preserve"> and the increase in </w:t>
      </w:r>
      <w:r>
        <w:t>Category II - Equipment &amp; Repairs expense related to distribution of specialized communications technology.</w:t>
      </w:r>
      <w:r w:rsidRPr="00BC7B39">
        <w:t xml:space="preserve"> Proposed surcharge revenue is projected to decline by $</w:t>
      </w:r>
      <w:r>
        <w:t xml:space="preserve">373,569 </w:t>
      </w:r>
      <w:r w:rsidRPr="00BC7B39">
        <w:t>compared</w:t>
      </w:r>
      <w:r>
        <w:t xml:space="preserve"> to last year’s</w:t>
      </w:r>
      <w:r w:rsidRPr="00BC7B39">
        <w:t xml:space="preserve"> approved budget because of continued declines in access lines.</w:t>
      </w:r>
      <w:r>
        <w:t xml:space="preserve"> Expenses related to the distribution of specialized communications technology are projected to be $1,786,100. </w:t>
      </w:r>
      <w:r w:rsidR="00CB55F8">
        <w:t>We</w:t>
      </w:r>
      <w:r w:rsidRPr="00695DB1">
        <w:t xml:space="preserve"> </w:t>
      </w:r>
      <w:r w:rsidRPr="00695DB1">
        <w:lastRenderedPageBreak/>
        <w:t>dev</w:t>
      </w:r>
      <w:r>
        <w:t xml:space="preserve">eloped an estimate of FTRI’s </w:t>
      </w:r>
      <w:r w:rsidRPr="00695DB1">
        <w:t>expenses for Fiscal Year 202</w:t>
      </w:r>
      <w:r>
        <w:t>5</w:t>
      </w:r>
      <w:r w:rsidRPr="00695DB1">
        <w:t>/202</w:t>
      </w:r>
      <w:r>
        <w:t>6</w:t>
      </w:r>
      <w:r w:rsidRPr="00695DB1">
        <w:t>, w</w:t>
      </w:r>
      <w:r>
        <w:t xml:space="preserve">hich is presented in Attachment B. </w:t>
      </w:r>
      <w:r w:rsidR="00CB55F8">
        <w:t>We</w:t>
      </w:r>
      <w:r>
        <w:t xml:space="preserve"> used actual data from the first three quarters and took an average of those three quarters to estimate the fourth. </w:t>
      </w:r>
      <w:r w:rsidR="00CB55F8">
        <w:t>Our</w:t>
      </w:r>
      <w:r>
        <w:t xml:space="preserve"> estimates were then used as one element in evaluating FTRI’s proposed budget, along with analyzing </w:t>
      </w:r>
      <w:r w:rsidR="00CB55F8">
        <w:t xml:space="preserve">our </w:t>
      </w:r>
      <w:r>
        <w:t xml:space="preserve">past approved FTRI budgets to identify and evaluate ongoing cost reduction measures. </w:t>
      </w:r>
    </w:p>
    <w:p w14:paraId="60B96C9B" w14:textId="77777777" w:rsidR="007465E2" w:rsidRDefault="007465E2" w:rsidP="002C30B9">
      <w:pPr>
        <w:pStyle w:val="BodyText"/>
        <w:spacing w:after="0"/>
        <w:jc w:val="both"/>
      </w:pPr>
    </w:p>
    <w:p w14:paraId="44885ADD" w14:textId="4005CF40" w:rsidR="007465E2" w:rsidRDefault="007465E2" w:rsidP="000A58D6">
      <w:pPr>
        <w:pStyle w:val="BodyText"/>
        <w:spacing w:after="0"/>
        <w:ind w:firstLine="720"/>
        <w:jc w:val="both"/>
      </w:pPr>
      <w:r>
        <w:t xml:space="preserve">Below is </w:t>
      </w:r>
      <w:r w:rsidR="00CB5CFC">
        <w:t>our</w:t>
      </w:r>
      <w:r>
        <w:t xml:space="preserve"> review of selected items from FTRI’s proposed budget expenses by category.</w:t>
      </w:r>
    </w:p>
    <w:p w14:paraId="3E12A0FC" w14:textId="77777777" w:rsidR="007465E2" w:rsidRDefault="007465E2" w:rsidP="00CB5CFC">
      <w:pPr>
        <w:pStyle w:val="BodyText"/>
        <w:spacing w:after="0"/>
        <w:jc w:val="both"/>
      </w:pPr>
    </w:p>
    <w:p w14:paraId="6BB6AF12" w14:textId="77777777" w:rsidR="007465E2" w:rsidRDefault="007465E2" w:rsidP="002C30B9">
      <w:pPr>
        <w:pStyle w:val="BodyText"/>
        <w:spacing w:after="0"/>
        <w:jc w:val="both"/>
        <w:rPr>
          <w:b/>
        </w:rPr>
      </w:pPr>
      <w:r w:rsidRPr="00CB5CFC">
        <w:rPr>
          <w:b/>
        </w:rPr>
        <w:t>Category I – Relay Services</w:t>
      </w:r>
    </w:p>
    <w:p w14:paraId="55B7E2D9" w14:textId="77777777" w:rsidR="00CB5CFC" w:rsidRPr="00CB5CFC" w:rsidRDefault="00CB5CFC" w:rsidP="002C30B9">
      <w:pPr>
        <w:pStyle w:val="BodyText"/>
        <w:spacing w:after="0"/>
        <w:jc w:val="both"/>
        <w:rPr>
          <w:b/>
        </w:rPr>
      </w:pPr>
    </w:p>
    <w:p w14:paraId="5A674956" w14:textId="2A73A89F" w:rsidR="007465E2" w:rsidRDefault="007465E2" w:rsidP="000A58D6">
      <w:pPr>
        <w:ind w:firstLine="720"/>
        <w:jc w:val="both"/>
      </w:pPr>
      <w:r>
        <w:t>Category I captures TRS provider expenses for traditional TRS currently provided by T-Mobile.</w:t>
      </w:r>
      <w:r w:rsidRPr="00376DEA">
        <w:t xml:space="preserve"> </w:t>
      </w:r>
      <w:r w:rsidR="008A11E7">
        <w:t>This Commission</w:t>
      </w:r>
      <w:r>
        <w:t xml:space="preserve"> and FTRI have historically used the TRS provider’s minutes of use forecast to develop the budget for this category. </w:t>
      </w:r>
    </w:p>
    <w:p w14:paraId="47755590" w14:textId="77777777" w:rsidR="007465E2" w:rsidRDefault="007465E2" w:rsidP="002C30B9">
      <w:pPr>
        <w:jc w:val="both"/>
      </w:pPr>
    </w:p>
    <w:p w14:paraId="7B604FAC" w14:textId="29C81E34" w:rsidR="007465E2" w:rsidRDefault="000A58D6" w:rsidP="000A58D6">
      <w:pPr>
        <w:pStyle w:val="BodyText"/>
        <w:spacing w:after="0"/>
        <w:ind w:firstLine="720"/>
        <w:jc w:val="both"/>
      </w:pPr>
      <w:r>
        <w:t>We approve</w:t>
      </w:r>
      <w:r w:rsidR="007465E2">
        <w:t xml:space="preserve"> using T-Mobile’s forecasted 297,506 minutes of use to calculate the TRS provider expense. At the contracted rate of $2.58 per minute, the proposed TRS provider expense is $767,564.</w:t>
      </w:r>
    </w:p>
    <w:p w14:paraId="38DD7BEF" w14:textId="77777777" w:rsidR="007465E2" w:rsidRDefault="007465E2" w:rsidP="002C30B9">
      <w:pPr>
        <w:pStyle w:val="BodyText"/>
        <w:spacing w:after="0"/>
        <w:jc w:val="both"/>
      </w:pPr>
    </w:p>
    <w:p w14:paraId="23E862CE" w14:textId="1FE4D9E0" w:rsidR="007465E2" w:rsidRDefault="000A58D6" w:rsidP="000A58D6">
      <w:pPr>
        <w:pStyle w:val="BodyText"/>
        <w:spacing w:after="0"/>
        <w:ind w:firstLine="720"/>
        <w:jc w:val="both"/>
      </w:pPr>
      <w:r>
        <w:t xml:space="preserve">We </w:t>
      </w:r>
      <w:r w:rsidR="007465E2" w:rsidRPr="009508FF">
        <w:t>approv</w:t>
      </w:r>
      <w:r>
        <w:t xml:space="preserve">e </w:t>
      </w:r>
      <w:r w:rsidR="007465E2">
        <w:t>$767,564 for relay services expense.</w:t>
      </w:r>
    </w:p>
    <w:p w14:paraId="252350A7" w14:textId="77777777" w:rsidR="007465E2" w:rsidRDefault="007465E2" w:rsidP="002C30B9">
      <w:pPr>
        <w:pStyle w:val="BodyText"/>
        <w:jc w:val="both"/>
      </w:pPr>
    </w:p>
    <w:p w14:paraId="56D9EC03" w14:textId="77777777" w:rsidR="007465E2" w:rsidRDefault="007465E2" w:rsidP="002C30B9">
      <w:pPr>
        <w:pStyle w:val="BodyText"/>
        <w:spacing w:after="0"/>
        <w:jc w:val="both"/>
        <w:rPr>
          <w:b/>
        </w:rPr>
      </w:pPr>
      <w:r w:rsidRPr="00CB5CFC">
        <w:rPr>
          <w:b/>
        </w:rPr>
        <w:t>Category II – Equipment &amp; Repairs</w:t>
      </w:r>
    </w:p>
    <w:p w14:paraId="0774B2D4" w14:textId="77777777" w:rsidR="00CB5CFC" w:rsidRPr="00CB5CFC" w:rsidRDefault="00CB5CFC" w:rsidP="002C30B9">
      <w:pPr>
        <w:pStyle w:val="BodyText"/>
        <w:spacing w:after="0"/>
        <w:jc w:val="both"/>
        <w:rPr>
          <w:b/>
        </w:rPr>
      </w:pPr>
    </w:p>
    <w:p w14:paraId="014004A9" w14:textId="3DB1DDFE" w:rsidR="007465E2" w:rsidRDefault="007465E2" w:rsidP="000A58D6">
      <w:pPr>
        <w:pStyle w:val="BodyText"/>
        <w:spacing w:after="0"/>
        <w:ind w:firstLine="720"/>
        <w:jc w:val="both"/>
      </w:pPr>
      <w:r>
        <w:t xml:space="preserve">Category II expenses reflect the purchase of equipment to be distributed to clients and the repairs that FTRI must make to keep the equipment in working order. FTRI requested $1,978,503 for Fiscal Year 2026/2027, representing a $1,503,194 increase in expense from </w:t>
      </w:r>
      <w:r w:rsidR="00CB55F8">
        <w:t xml:space="preserve">our </w:t>
      </w:r>
      <w:r>
        <w:t>current approved budget. The proposed increase is largely attributed to planned distribution of newly defined specialized communications technology authorized by amendments to Chapter 427, F.S., that were enacted by the Legislature in 2025.</w:t>
      </w:r>
    </w:p>
    <w:p w14:paraId="0FFF8B82" w14:textId="77777777" w:rsidR="007465E2" w:rsidRDefault="007465E2" w:rsidP="002C30B9">
      <w:pPr>
        <w:pStyle w:val="BodyText"/>
        <w:spacing w:after="0"/>
        <w:jc w:val="both"/>
      </w:pPr>
    </w:p>
    <w:p w14:paraId="5997B1F9" w14:textId="77777777" w:rsidR="007465E2" w:rsidRDefault="007465E2" w:rsidP="000A58D6">
      <w:pPr>
        <w:pStyle w:val="BodyText"/>
        <w:spacing w:after="0"/>
        <w:ind w:firstLine="720"/>
        <w:jc w:val="both"/>
      </w:pPr>
      <w:r w:rsidRPr="00D17CB4">
        <w:t>Th</w:t>
      </w:r>
      <w:r>
        <w:t xml:space="preserve">e specialized communications technology </w:t>
      </w:r>
      <w:r w:rsidRPr="00D17CB4">
        <w:t xml:space="preserve">line item </w:t>
      </w:r>
      <w:r>
        <w:t>proposes a $1,786,100 Fiscal Year 2026/2027 expenditure for iPhones, iPads, and ATOS electrolarynx devices</w:t>
      </w:r>
      <w:r w:rsidRPr="00D17CB4">
        <w:t xml:space="preserve">. </w:t>
      </w:r>
      <w:r>
        <w:t>The ATOS</w:t>
      </w:r>
      <w:r w:rsidRPr="00A822E2">
        <w:t xml:space="preserve"> </w:t>
      </w:r>
      <w:r>
        <w:t xml:space="preserve">electrolarynx device is designed to assist persons with total laryngectomy, which is the removal of the voice box to treat throat cancer. </w:t>
      </w:r>
      <w:r w:rsidRPr="00D17CB4">
        <w:t>In addition</w:t>
      </w:r>
      <w:r>
        <w:t xml:space="preserve"> to </w:t>
      </w:r>
      <w:r w:rsidRPr="00D17CB4">
        <w:t>standard eligibility criteria</w:t>
      </w:r>
      <w:r>
        <w:t xml:space="preserve"> related to hearing loss and speech disability</w:t>
      </w:r>
      <w:r w:rsidRPr="00D17CB4">
        <w:t>, this equipment is only available to Florida residents whose income does not exceed 250</w:t>
      </w:r>
      <w:r>
        <w:t xml:space="preserve"> percent</w:t>
      </w:r>
      <w:r w:rsidRPr="00D17CB4">
        <w:t xml:space="preserve"> of the </w:t>
      </w:r>
      <w:r>
        <w:t>f</w:t>
      </w:r>
      <w:r w:rsidRPr="00D17CB4">
        <w:t xml:space="preserve">ederal </w:t>
      </w:r>
      <w:r>
        <w:t>p</w:t>
      </w:r>
      <w:r w:rsidRPr="00D17CB4">
        <w:t xml:space="preserve">overty </w:t>
      </w:r>
      <w:r>
        <w:t>l</w:t>
      </w:r>
      <w:r w:rsidRPr="00D17CB4">
        <w:t>evel</w:t>
      </w:r>
      <w:r>
        <w:t>, or who participate in other income-based programs as described above</w:t>
      </w:r>
      <w:r w:rsidRPr="00D17CB4">
        <w:t xml:space="preserve">. </w:t>
      </w:r>
    </w:p>
    <w:p w14:paraId="2B938832" w14:textId="77777777" w:rsidR="007465E2" w:rsidRDefault="007465E2" w:rsidP="002C30B9">
      <w:pPr>
        <w:pStyle w:val="BodyText"/>
        <w:spacing w:after="0"/>
        <w:jc w:val="both"/>
      </w:pPr>
    </w:p>
    <w:p w14:paraId="55DCA328" w14:textId="77777777" w:rsidR="007465E2" w:rsidRDefault="007465E2" w:rsidP="000A58D6">
      <w:pPr>
        <w:pStyle w:val="BodyText"/>
        <w:spacing w:after="0"/>
        <w:ind w:firstLine="720"/>
        <w:jc w:val="both"/>
      </w:pPr>
      <w:r>
        <w:t xml:space="preserve">FTRI’s </w:t>
      </w:r>
      <w:r w:rsidRPr="00D17CB4">
        <w:t>F</w:t>
      </w:r>
      <w:r>
        <w:t xml:space="preserve">iscal Year </w:t>
      </w:r>
      <w:r w:rsidRPr="00D17CB4">
        <w:t xml:space="preserve">2026/2027 </w:t>
      </w:r>
      <w:r>
        <w:t xml:space="preserve">proposed </w:t>
      </w:r>
      <w:r w:rsidRPr="00D17CB4">
        <w:t>budget estimate is based on</w:t>
      </w:r>
      <w:r>
        <w:t xml:space="preserve"> current unit cost and projected </w:t>
      </w:r>
      <w:r w:rsidRPr="00D17CB4">
        <w:t>device distribution volume</w:t>
      </w:r>
      <w:r>
        <w:t xml:space="preserve">s, including assumptions on the size of the addressable client base. </w:t>
      </w:r>
      <w:r w:rsidRPr="00D17CB4">
        <w:t>The current projection includes 705 iPhone devices at $1,620 per unit ($1,142,100), 470 large screen iPad devices at $1,300 per unit ($611,000), and 30 ATOS electrolarynx at $1,100 per unit, ($33,000</w:t>
      </w:r>
      <w:r>
        <w:t>).</w:t>
      </w:r>
      <w:r w:rsidRPr="00D17CB4">
        <w:t xml:space="preserve"> </w:t>
      </w:r>
    </w:p>
    <w:p w14:paraId="0C6C09D4" w14:textId="77777777" w:rsidR="007465E2" w:rsidRDefault="007465E2" w:rsidP="007465E2">
      <w:pPr>
        <w:pStyle w:val="BodyText"/>
        <w:spacing w:after="0"/>
      </w:pPr>
    </w:p>
    <w:p w14:paraId="5E380AE2" w14:textId="64523E3F" w:rsidR="007465E2" w:rsidRDefault="007465E2" w:rsidP="000A58D6">
      <w:pPr>
        <w:pStyle w:val="BodyText"/>
        <w:spacing w:after="0"/>
        <w:ind w:firstLine="720"/>
        <w:jc w:val="both"/>
      </w:pPr>
      <w:r w:rsidRPr="005E005E">
        <w:lastRenderedPageBreak/>
        <w:t xml:space="preserve">In response to </w:t>
      </w:r>
      <w:r w:rsidR="000A58D6">
        <w:t xml:space="preserve">our </w:t>
      </w:r>
      <w:r w:rsidRPr="005E005E">
        <w:t xml:space="preserve">staff’s data request, FTRI indicated that it relied on data from the Florida Coordinating Council for the Deaf and Hard of Hearing (FCCDHH) </w:t>
      </w:r>
      <w:r>
        <w:t xml:space="preserve">and other reputable organizations </w:t>
      </w:r>
      <w:r w:rsidRPr="005E005E">
        <w:t>to develop its demand projections. FCCDHH is overseen by the Florida</w:t>
      </w:r>
      <w:r>
        <w:t xml:space="preserve"> </w:t>
      </w:r>
      <w:r w:rsidRPr="005E005E">
        <w:t xml:space="preserve">Department of Health. </w:t>
      </w:r>
      <w:r>
        <w:t xml:space="preserve">FTRI’s projected number of units starts with the identification of </w:t>
      </w:r>
      <w:r w:rsidRPr="00D17CB4">
        <w:t>900</w:t>
      </w:r>
      <w:r>
        <w:t>,000</w:t>
      </w:r>
      <w:r w:rsidRPr="00D17CB4">
        <w:t xml:space="preserve"> residents who identify as Deaf, Hard of Hearing, or Speech Impaired, assumes that approximately 29</w:t>
      </w:r>
      <w:r>
        <w:t xml:space="preserve"> percent</w:t>
      </w:r>
      <w:r w:rsidRPr="00D17CB4">
        <w:t xml:space="preserve"> meet the income requirements, and estimates that 3</w:t>
      </w:r>
      <w:r>
        <w:t xml:space="preserve"> percent</w:t>
      </w:r>
      <w:r w:rsidRPr="00D17CB4">
        <w:t xml:space="preserve"> of those do not already have access to a wireless device that meets their needs. Applying</w:t>
      </w:r>
      <w:r>
        <w:t xml:space="preserve"> FTRI’s </w:t>
      </w:r>
      <w:r w:rsidRPr="00D17CB4">
        <w:t>logic yields 7,830 eligible Florida residents who may apply for equipment in any given year. FTRI anticipates 15</w:t>
      </w:r>
      <w:r>
        <w:t xml:space="preserve"> percent</w:t>
      </w:r>
      <w:r w:rsidRPr="00D17CB4">
        <w:t xml:space="preserve"> of this target population will submit a completed application in FY 2026/2027</w:t>
      </w:r>
      <w:r>
        <w:t>,</w:t>
      </w:r>
      <w:r w:rsidRPr="00D17CB4">
        <w:t xml:space="preserve"> resulting in 1,175 Apple units being distributed. The projected quantity of A</w:t>
      </w:r>
      <w:r>
        <w:t>TOS</w:t>
      </w:r>
      <w:r w:rsidRPr="00D17CB4">
        <w:t xml:space="preserve"> Emote devices </w:t>
      </w:r>
      <w:r>
        <w:t xml:space="preserve">to be </w:t>
      </w:r>
      <w:r w:rsidRPr="00D17CB4">
        <w:t xml:space="preserve">distributed </w:t>
      </w:r>
      <w:r>
        <w:t>in</w:t>
      </w:r>
      <w:r w:rsidRPr="00D17CB4">
        <w:t xml:space="preserve"> F</w:t>
      </w:r>
      <w:r>
        <w:t xml:space="preserve">iscal </w:t>
      </w:r>
      <w:r w:rsidRPr="00D17CB4">
        <w:t>Y</w:t>
      </w:r>
      <w:r>
        <w:t>ear</w:t>
      </w:r>
      <w:r w:rsidRPr="00D17CB4">
        <w:t xml:space="preserve"> 2026/2027</w:t>
      </w:r>
      <w:r>
        <w:t xml:space="preserve"> </w:t>
      </w:r>
      <w:r w:rsidRPr="00D17CB4">
        <w:t>is 30. This calculat</w:t>
      </w:r>
      <w:r>
        <w:t>ion is</w:t>
      </w:r>
      <w:r w:rsidRPr="00D17CB4">
        <w:t xml:space="preserve"> based on 10,000 people in the US living with total laryngectomy and 6.9</w:t>
      </w:r>
      <w:r>
        <w:t xml:space="preserve"> percent</w:t>
      </w:r>
      <w:r w:rsidRPr="00D17CB4">
        <w:t xml:space="preserve"> of the US population living in Florida. This equates to 690 Florida residents with total laryngectomy. Applying the same income assumptions as other wireless device projections, 200 Florida residents would qualify in any given year. Continuing with the conservative planning estimate of serving 15</w:t>
      </w:r>
      <w:r>
        <w:t xml:space="preserve"> percent </w:t>
      </w:r>
      <w:r w:rsidRPr="00D17CB4">
        <w:t>of the target population, 30 units would be distributed in the upcoming fiscal year</w:t>
      </w:r>
      <w:r>
        <w:t>.</w:t>
      </w:r>
    </w:p>
    <w:p w14:paraId="270666C1" w14:textId="77777777" w:rsidR="007465E2" w:rsidRDefault="007465E2" w:rsidP="002C30B9">
      <w:pPr>
        <w:pStyle w:val="BodyText"/>
        <w:spacing w:after="0"/>
        <w:jc w:val="both"/>
      </w:pPr>
    </w:p>
    <w:p w14:paraId="3BA0CE1C" w14:textId="77777777" w:rsidR="007465E2" w:rsidRDefault="007465E2" w:rsidP="000A58D6">
      <w:pPr>
        <w:pStyle w:val="BodyText"/>
        <w:spacing w:after="0"/>
        <w:ind w:firstLine="720"/>
        <w:jc w:val="both"/>
      </w:pPr>
      <w:r>
        <w:t>A</w:t>
      </w:r>
      <w:r w:rsidRPr="002D37B4">
        <w:t xml:space="preserve">ccording to the 2025 FCCDHH Biennial Report, it is estimated that 3 to 4 million Floridians have significant hearing loss. </w:t>
      </w:r>
      <w:r>
        <w:t>FTRI also reported that o</w:t>
      </w:r>
      <w:r w:rsidRPr="002D37B4">
        <w:t>f those, approximately 800,000 identify as Deaf or Hard of Hearing according to sources such as the Florida Department of State DLIS Deaf Literacy Center. According to the NIH National Institute on Deafness and Other Communication Disorders, approximately 7.2</w:t>
      </w:r>
      <w:r>
        <w:t xml:space="preserve"> percent</w:t>
      </w:r>
      <w:r w:rsidRPr="002D37B4">
        <w:t xml:space="preserve"> of US children ages 3-17 </w:t>
      </w:r>
      <w:r>
        <w:t xml:space="preserve">have </w:t>
      </w:r>
      <w:r w:rsidRPr="002D37B4">
        <w:t>a disorder related to voice, speech, or language. Similarly, 7.6</w:t>
      </w:r>
      <w:r>
        <w:t xml:space="preserve"> percent</w:t>
      </w:r>
      <w:r w:rsidRPr="002D37B4">
        <w:t xml:space="preserve"> of US adults report having a voice problem that lasted longer than 12 months. Given Florida’s population, this equates to over 1.7 million residents who have some form of speech-related disability. For the purposes of this initial projection, FTRI used a conservative estimate of approximately 100,000 residents who may identify as having a qualifying speech impairment, including 690 with total laryngectomy.</w:t>
      </w:r>
    </w:p>
    <w:p w14:paraId="230FD367" w14:textId="77777777" w:rsidR="007465E2" w:rsidRDefault="007465E2" w:rsidP="002C30B9">
      <w:pPr>
        <w:pStyle w:val="BodyText"/>
        <w:spacing w:after="0"/>
        <w:jc w:val="both"/>
      </w:pPr>
    </w:p>
    <w:p w14:paraId="312DD7FB" w14:textId="77777777" w:rsidR="007465E2" w:rsidRDefault="007465E2" w:rsidP="000A58D6">
      <w:pPr>
        <w:pStyle w:val="BodyText"/>
        <w:ind w:firstLine="720"/>
        <w:jc w:val="both"/>
      </w:pPr>
      <w:r>
        <w:t>FTRI projected that a</w:t>
      </w:r>
      <w:r w:rsidRPr="00A346F6">
        <w:t>pproximately 12</w:t>
      </w:r>
      <w:r>
        <w:t xml:space="preserve"> percent</w:t>
      </w:r>
      <w:r w:rsidRPr="00A346F6">
        <w:t xml:space="preserve"> of Florida residents live below the </w:t>
      </w:r>
      <w:r>
        <w:t>f</w:t>
      </w:r>
      <w:r w:rsidRPr="00A346F6">
        <w:t xml:space="preserve">ederal </w:t>
      </w:r>
      <w:r>
        <w:t>p</w:t>
      </w:r>
      <w:r w:rsidRPr="00A346F6">
        <w:t xml:space="preserve">overty </w:t>
      </w:r>
      <w:r>
        <w:t>l</w:t>
      </w:r>
      <w:r w:rsidRPr="00A346F6">
        <w:t>evel and 34</w:t>
      </w:r>
      <w:r>
        <w:t xml:space="preserve"> percent</w:t>
      </w:r>
      <w:r w:rsidRPr="00A346F6">
        <w:t xml:space="preserve"> of households are classified as asset limited, income constrained and employed. Eligibility requirements are currently set at less than 250</w:t>
      </w:r>
      <w:r>
        <w:t xml:space="preserve"> percent</w:t>
      </w:r>
      <w:r w:rsidRPr="00A346F6">
        <w:t xml:space="preserve"> of the </w:t>
      </w:r>
      <w:r>
        <w:t>f</w:t>
      </w:r>
      <w:r w:rsidRPr="00A346F6">
        <w:t xml:space="preserve">ederal </w:t>
      </w:r>
      <w:r>
        <w:t>p</w:t>
      </w:r>
      <w:r w:rsidRPr="00A346F6">
        <w:t xml:space="preserve">overty </w:t>
      </w:r>
      <w:r>
        <w:t>l</w:t>
      </w:r>
      <w:r w:rsidRPr="00A346F6">
        <w:t>evel and, as a result, FTRI estimates that 29</w:t>
      </w:r>
      <w:r>
        <w:t xml:space="preserve"> percent</w:t>
      </w:r>
      <w:r w:rsidRPr="00A346F6">
        <w:t xml:space="preserve"> would satisfy program eligibility income requirements. Smartphones are common across income levels, with access to at least one device ranging from 79–98</w:t>
      </w:r>
      <w:r>
        <w:t xml:space="preserve"> percent</w:t>
      </w:r>
      <w:r w:rsidRPr="00A346F6">
        <w:t xml:space="preserve"> based on income. Cellphone and Smartphone ownership for US adults with household income of $30</w:t>
      </w:r>
      <w:r>
        <w:t>,000-</w:t>
      </w:r>
      <w:r w:rsidRPr="00A346F6">
        <w:t>$69</w:t>
      </w:r>
      <w:r>
        <w:t>,</w:t>
      </w:r>
      <w:r w:rsidRPr="00A346F6">
        <w:t>9</w:t>
      </w:r>
      <w:r>
        <w:t>00</w:t>
      </w:r>
      <w:r w:rsidRPr="00A346F6">
        <w:t xml:space="preserve"> is also 98</w:t>
      </w:r>
      <w:r>
        <w:t xml:space="preserve"> percent</w:t>
      </w:r>
      <w:r w:rsidRPr="00A346F6">
        <w:t xml:space="preserve"> and 89</w:t>
      </w:r>
      <w:r>
        <w:t xml:space="preserve"> percent</w:t>
      </w:r>
      <w:r w:rsidRPr="00A346F6">
        <w:t xml:space="preserve"> respectively. Considering these factors, FTRI used a conservative estimate of 3</w:t>
      </w:r>
      <w:r>
        <w:t xml:space="preserve"> percent</w:t>
      </w:r>
      <w:r w:rsidRPr="00A346F6">
        <w:t xml:space="preserve"> of Florida residents who may not already have access to a wireless device that meets their needs.</w:t>
      </w:r>
    </w:p>
    <w:p w14:paraId="0A78BFE3" w14:textId="77777777" w:rsidR="00C5516A" w:rsidRDefault="007465E2" w:rsidP="000A58D6">
      <w:pPr>
        <w:pStyle w:val="BodyText"/>
        <w:spacing w:after="0"/>
        <w:ind w:firstLine="720"/>
        <w:jc w:val="both"/>
      </w:pPr>
      <w:r>
        <w:t xml:space="preserve">In total, FTRI projects 1,205 units to be distributed at a total cost </w:t>
      </w:r>
      <w:r w:rsidRPr="00D17CB4">
        <w:t>of $1,786,100</w:t>
      </w:r>
      <w:r>
        <w:t xml:space="preserve"> </w:t>
      </w:r>
      <w:r w:rsidRPr="00D17CB4">
        <w:t>for F</w:t>
      </w:r>
      <w:r>
        <w:t xml:space="preserve">iscal </w:t>
      </w:r>
      <w:r w:rsidRPr="00D17CB4">
        <w:t>Y</w:t>
      </w:r>
      <w:r>
        <w:t>ear</w:t>
      </w:r>
      <w:r w:rsidRPr="00D17CB4">
        <w:t xml:space="preserve"> 2026/2027.</w:t>
      </w:r>
      <w:r>
        <w:t xml:space="preserve"> </w:t>
      </w:r>
      <w:r w:rsidR="00CB55F8">
        <w:t>We find that no</w:t>
      </w:r>
      <w:r>
        <w:t xml:space="preserve"> adjustment to FTRI’s projections and budget request</w:t>
      </w:r>
      <w:r w:rsidR="00CB55F8">
        <w:t xml:space="preserve"> is needed</w:t>
      </w:r>
      <w:r>
        <w:t xml:space="preserve">. However, given FTRI’s reliance on demand assumptions, along with the potential for fraud, it is important that FTRI remain diligent. FTRI states that clients are required to adhere to the Conditions of Acceptance regarding the use of the devices. Condition of Acceptance five requires clients to return devices when no longer needed. In addition, FTRI </w:t>
      </w:r>
      <w:r w:rsidR="00CB55F8">
        <w:t>shall</w:t>
      </w:r>
      <w:r>
        <w:t xml:space="preserve"> require devices be returned when clients no longer meet income or program participation requirements. FTRI </w:t>
      </w:r>
      <w:r w:rsidR="00CB55F8">
        <w:t>shall</w:t>
      </w:r>
      <w:r>
        <w:t xml:space="preserve"> also implement a practice to verify client income and program eligibility when issuing </w:t>
      </w:r>
      <w:r>
        <w:lastRenderedPageBreak/>
        <w:t xml:space="preserve">replacement devices. </w:t>
      </w:r>
      <w:r w:rsidR="00CB55F8">
        <w:t>We</w:t>
      </w:r>
      <w:r>
        <w:t xml:space="preserve"> order FTRI to file monitoring reports on the distribution of iPhones and iPads as discussed in </w:t>
      </w:r>
      <w:r w:rsidR="006C21F7">
        <w:t>Section</w:t>
      </w:r>
      <w:r>
        <w:t xml:space="preserve"> 2 of this </w:t>
      </w:r>
      <w:r w:rsidR="006C21F7">
        <w:t>Order</w:t>
      </w:r>
      <w:r>
        <w:t xml:space="preserve">. </w:t>
      </w:r>
    </w:p>
    <w:p w14:paraId="4B35496D" w14:textId="77777777" w:rsidR="00C5516A" w:rsidRDefault="00C5516A" w:rsidP="000A58D6">
      <w:pPr>
        <w:pStyle w:val="BodyText"/>
        <w:spacing w:after="0"/>
        <w:ind w:firstLine="720"/>
        <w:jc w:val="both"/>
      </w:pPr>
    </w:p>
    <w:p w14:paraId="2EADC5BD" w14:textId="556628BA" w:rsidR="007465E2" w:rsidRDefault="00CB55F8" w:rsidP="000A58D6">
      <w:pPr>
        <w:pStyle w:val="BodyText"/>
        <w:spacing w:after="0"/>
        <w:ind w:firstLine="720"/>
        <w:jc w:val="both"/>
      </w:pPr>
      <w:r>
        <w:t>We</w:t>
      </w:r>
      <w:r w:rsidR="007465E2" w:rsidRPr="009508FF">
        <w:t xml:space="preserve"> approv</w:t>
      </w:r>
      <w:r>
        <w:t>e</w:t>
      </w:r>
      <w:r w:rsidR="007465E2" w:rsidRPr="009508FF">
        <w:t xml:space="preserve"> </w:t>
      </w:r>
      <w:r w:rsidR="007465E2">
        <w:t>$1,978,503 for equipment and repairs expense.</w:t>
      </w:r>
    </w:p>
    <w:p w14:paraId="5B87B628" w14:textId="77777777" w:rsidR="007465E2" w:rsidRDefault="007465E2" w:rsidP="00CB5CFC">
      <w:pPr>
        <w:rPr>
          <w:rFonts w:ascii="Arial" w:hAnsi="Arial" w:cs="Arial"/>
          <w:b/>
        </w:rPr>
      </w:pPr>
    </w:p>
    <w:p w14:paraId="0063F5DA" w14:textId="77777777" w:rsidR="007465E2" w:rsidRDefault="007465E2" w:rsidP="002C30B9">
      <w:pPr>
        <w:jc w:val="both"/>
        <w:rPr>
          <w:b/>
        </w:rPr>
      </w:pPr>
      <w:r w:rsidRPr="00CB5CFC">
        <w:rPr>
          <w:b/>
        </w:rPr>
        <w:t>Category III – Equipment Distribution &amp; Training</w:t>
      </w:r>
    </w:p>
    <w:p w14:paraId="72E217B0" w14:textId="77777777" w:rsidR="00CB5CFC" w:rsidRPr="00CB5CFC" w:rsidRDefault="00CB5CFC" w:rsidP="002C30B9">
      <w:pPr>
        <w:jc w:val="both"/>
        <w:rPr>
          <w:b/>
        </w:rPr>
      </w:pPr>
    </w:p>
    <w:p w14:paraId="15DB4D17" w14:textId="363B232C" w:rsidR="007465E2" w:rsidRDefault="007465E2" w:rsidP="000A58D6">
      <w:pPr>
        <w:pStyle w:val="BodyText"/>
        <w:spacing w:after="0"/>
        <w:ind w:firstLine="720"/>
        <w:jc w:val="both"/>
      </w:pPr>
      <w:r>
        <w:t xml:space="preserve">Category III reflects the cost of distributing equipment and training consumers in the use of that equipment. FTRI’s proposed budget requests $149,554 for distribution and training, which reflects a $39,011 decrease from </w:t>
      </w:r>
      <w:r w:rsidR="00CB55F8">
        <w:t xml:space="preserve">our </w:t>
      </w:r>
      <w:r>
        <w:t>current approved budget.</w:t>
      </w:r>
    </w:p>
    <w:p w14:paraId="19293B3C" w14:textId="77777777" w:rsidR="007465E2" w:rsidRDefault="007465E2" w:rsidP="002C30B9">
      <w:pPr>
        <w:pStyle w:val="BodyText"/>
        <w:spacing w:after="0"/>
        <w:jc w:val="both"/>
      </w:pPr>
    </w:p>
    <w:p w14:paraId="5DD22067" w14:textId="2D4823D6" w:rsidR="007465E2" w:rsidRDefault="007465E2" w:rsidP="000A58D6">
      <w:pPr>
        <w:pStyle w:val="BodyText"/>
        <w:spacing w:after="0"/>
        <w:ind w:firstLine="720"/>
        <w:jc w:val="both"/>
      </w:pPr>
      <w:r>
        <w:t xml:space="preserve">Expenses related to Regional Distribution Centers (RDCs) are the largest component of Category III expenses. FTRI’s proposed budget for RDCs is $109,504, which is $36,436 lower than </w:t>
      </w:r>
      <w:r w:rsidR="00CB55F8">
        <w:t xml:space="preserve">our </w:t>
      </w:r>
      <w:r>
        <w:t xml:space="preserve">current approved budget. FTRI explained that some RDCs have not fully recovered from the impact of the COVID-19 shutdown. FTRI plans to continue exploring alternative partnerships to expand distribution services for selected equipment. However, FTRI will distribute the newly defined specialized communications technology devices using in-house resources and does not currently plan to use third parties. </w:t>
      </w:r>
      <w:r w:rsidR="00CB55F8">
        <w:t>We</w:t>
      </w:r>
      <w:r>
        <w:t xml:space="preserve"> </w:t>
      </w:r>
      <w:r w:rsidR="00CB55F8">
        <w:t>support</w:t>
      </w:r>
      <w:r>
        <w:t xml:space="preserve"> this approach considering the challenges related to initial implementation.</w:t>
      </w:r>
    </w:p>
    <w:p w14:paraId="6131F6E0" w14:textId="77777777" w:rsidR="007465E2" w:rsidRDefault="007465E2" w:rsidP="002C30B9">
      <w:pPr>
        <w:pStyle w:val="BodyText"/>
        <w:spacing w:after="0"/>
        <w:jc w:val="both"/>
      </w:pPr>
    </w:p>
    <w:p w14:paraId="54D8CB29" w14:textId="1CC6B269" w:rsidR="007465E2" w:rsidRDefault="000A58D6" w:rsidP="000A58D6">
      <w:pPr>
        <w:pStyle w:val="BodyText"/>
        <w:spacing w:after="0"/>
        <w:ind w:firstLine="720"/>
        <w:jc w:val="both"/>
      </w:pPr>
      <w:r>
        <w:t>We</w:t>
      </w:r>
      <w:r w:rsidR="007465E2">
        <w:t xml:space="preserve"> approv</w:t>
      </w:r>
      <w:r>
        <w:t>e</w:t>
      </w:r>
      <w:r w:rsidR="007465E2">
        <w:t xml:space="preserve"> FTRI’s proposed budget for Category III expenses of $149,554.</w:t>
      </w:r>
    </w:p>
    <w:p w14:paraId="1BF6D14B" w14:textId="77777777" w:rsidR="007465E2" w:rsidRDefault="007465E2" w:rsidP="00CB5CFC">
      <w:pPr>
        <w:pStyle w:val="BodyText"/>
        <w:spacing w:after="0"/>
        <w:jc w:val="both"/>
      </w:pPr>
    </w:p>
    <w:p w14:paraId="66C7E536" w14:textId="77777777" w:rsidR="007465E2" w:rsidRDefault="007465E2" w:rsidP="002C30B9">
      <w:pPr>
        <w:pStyle w:val="BodyText"/>
        <w:spacing w:after="0"/>
        <w:jc w:val="both"/>
        <w:rPr>
          <w:b/>
        </w:rPr>
      </w:pPr>
      <w:r w:rsidRPr="00CB5CFC">
        <w:rPr>
          <w:b/>
        </w:rPr>
        <w:t>Category IV – Outreach</w:t>
      </w:r>
    </w:p>
    <w:p w14:paraId="7854470A" w14:textId="77777777" w:rsidR="00CB5CFC" w:rsidRPr="00CB5CFC" w:rsidRDefault="00CB5CFC" w:rsidP="002C30B9">
      <w:pPr>
        <w:pStyle w:val="BodyText"/>
        <w:spacing w:after="0"/>
        <w:jc w:val="both"/>
        <w:rPr>
          <w:b/>
        </w:rPr>
      </w:pPr>
    </w:p>
    <w:p w14:paraId="1DB146F3" w14:textId="43939146" w:rsidR="007465E2" w:rsidRDefault="007465E2" w:rsidP="000A58D6">
      <w:pPr>
        <w:pStyle w:val="BodyText"/>
        <w:spacing w:after="0"/>
        <w:ind w:firstLine="720"/>
        <w:jc w:val="both"/>
      </w:pPr>
      <w:r>
        <w:t>Outreach efforts are designed to promote FTRI’s equipment distribution services and to raise awareness about TRS. FTRI’s proposed Fiscal Year 2026/2027 Outreach budget increased by $19,028 over the 2025/2026 approved budget.</w:t>
      </w:r>
    </w:p>
    <w:p w14:paraId="34FB9532" w14:textId="77777777" w:rsidR="007465E2" w:rsidRDefault="007465E2" w:rsidP="002C30B9">
      <w:pPr>
        <w:pStyle w:val="BodyText"/>
        <w:spacing w:after="0"/>
        <w:jc w:val="both"/>
      </w:pPr>
    </w:p>
    <w:p w14:paraId="32976C7E" w14:textId="77777777" w:rsidR="007465E2" w:rsidRDefault="007465E2" w:rsidP="000A58D6">
      <w:pPr>
        <w:pStyle w:val="BodyText"/>
        <w:spacing w:after="0"/>
        <w:ind w:firstLine="720"/>
        <w:jc w:val="both"/>
      </w:pPr>
      <w:r>
        <w:t xml:space="preserve">Factors contributing to the increase in Outreach Expense include the hiring of a Community Coordinator, travel expenses, and advertising price increases. FTRI employs various forms of communication in its outreach strategy. FTRI plans to expand outreach efforts, including continued advertising in newspapers using free-standing insert ads (flyers) and television. Expanded promotion may have additional value to inform qualifying relay customers about new types of equipment that are available. </w:t>
      </w:r>
    </w:p>
    <w:p w14:paraId="7629E2A1" w14:textId="77777777" w:rsidR="007465E2" w:rsidRDefault="007465E2" w:rsidP="002C30B9">
      <w:pPr>
        <w:pStyle w:val="BodyText"/>
        <w:spacing w:after="0"/>
        <w:jc w:val="both"/>
      </w:pPr>
    </w:p>
    <w:p w14:paraId="3FE837EB" w14:textId="23037411" w:rsidR="007465E2" w:rsidRDefault="000A58D6" w:rsidP="000A58D6">
      <w:pPr>
        <w:pStyle w:val="BodyText"/>
        <w:spacing w:after="0"/>
        <w:ind w:firstLine="720"/>
        <w:jc w:val="both"/>
      </w:pPr>
      <w:r>
        <w:t>We</w:t>
      </w:r>
      <w:r w:rsidR="007465E2">
        <w:t xml:space="preserve"> approv</w:t>
      </w:r>
      <w:r>
        <w:t>e</w:t>
      </w:r>
      <w:r w:rsidR="007465E2">
        <w:t xml:space="preserve"> FTRI’s proposed budget of $653,309 for Outreach expenses.</w:t>
      </w:r>
    </w:p>
    <w:p w14:paraId="4AB60EE8" w14:textId="77777777" w:rsidR="007465E2" w:rsidRDefault="007465E2" w:rsidP="00CB5CFC">
      <w:pPr>
        <w:jc w:val="both"/>
      </w:pPr>
    </w:p>
    <w:p w14:paraId="4566C0A2" w14:textId="77777777" w:rsidR="007465E2" w:rsidRPr="00CB5CFC" w:rsidRDefault="007465E2" w:rsidP="002C30B9">
      <w:pPr>
        <w:pStyle w:val="BodyText"/>
        <w:spacing w:after="0"/>
        <w:jc w:val="both"/>
        <w:rPr>
          <w:b/>
        </w:rPr>
      </w:pPr>
      <w:r w:rsidRPr="00CB5CFC">
        <w:rPr>
          <w:b/>
        </w:rPr>
        <w:t>Category V – General &amp; Administrative</w:t>
      </w:r>
    </w:p>
    <w:p w14:paraId="606B2449" w14:textId="77777777" w:rsidR="00CB5CFC" w:rsidRDefault="00CB5CFC" w:rsidP="007C734E">
      <w:pPr>
        <w:pStyle w:val="BodyText"/>
        <w:spacing w:after="0"/>
        <w:ind w:firstLine="720"/>
        <w:jc w:val="both"/>
      </w:pPr>
    </w:p>
    <w:p w14:paraId="11F8E557" w14:textId="0812DBDD" w:rsidR="007465E2" w:rsidRDefault="007465E2" w:rsidP="007C734E">
      <w:pPr>
        <w:pStyle w:val="BodyText"/>
        <w:spacing w:after="0"/>
        <w:ind w:firstLine="720"/>
        <w:jc w:val="both"/>
      </w:pPr>
      <w:r>
        <w:t xml:space="preserve">Category V reflects expenses associated with FTRI’s operations, such as office and furnishings, employee compensation, contracted services (auditing, legal, IT consulting), computers, and other operating expenses. FTRI is proposing $1,145,259 for Fiscal Year 2026/2027, which represents a $15,030 decrease from </w:t>
      </w:r>
      <w:r w:rsidR="00CB55F8">
        <w:t xml:space="preserve">our </w:t>
      </w:r>
      <w:r>
        <w:t xml:space="preserve">current approved budget. </w:t>
      </w:r>
    </w:p>
    <w:p w14:paraId="1482EFF5" w14:textId="77777777" w:rsidR="007465E2" w:rsidRPr="00970A88" w:rsidRDefault="007465E2" w:rsidP="002C30B9">
      <w:pPr>
        <w:pStyle w:val="BodyText"/>
        <w:spacing w:after="0"/>
        <w:jc w:val="both"/>
      </w:pPr>
    </w:p>
    <w:p w14:paraId="55E99270" w14:textId="7E3C4A10" w:rsidR="007465E2" w:rsidRDefault="007465E2" w:rsidP="007C734E">
      <w:pPr>
        <w:ind w:firstLine="720"/>
        <w:jc w:val="both"/>
      </w:pPr>
      <w:r w:rsidRPr="00CD6CFB">
        <w:lastRenderedPageBreak/>
        <w:t xml:space="preserve">The amount budgeted for </w:t>
      </w:r>
      <w:r>
        <w:t xml:space="preserve">Fiscal Year </w:t>
      </w:r>
      <w:r w:rsidRPr="00CD6CFB">
        <w:t>2026/2027 Insurance-Health/Life/Disability account shows a $39,302 increase from F</w:t>
      </w:r>
      <w:r>
        <w:t xml:space="preserve">iscal </w:t>
      </w:r>
      <w:r w:rsidRPr="00CD6CFB">
        <w:t>Y</w:t>
      </w:r>
      <w:r>
        <w:t>ear</w:t>
      </w:r>
      <w:r w:rsidRPr="00CD6CFB">
        <w:t xml:space="preserve"> 2025/2026 estimated expenditures. </w:t>
      </w:r>
      <w:bookmarkStart w:id="11" w:name="_Hlk233110691"/>
      <w:r w:rsidRPr="00CD6CFB">
        <w:t>FTRI estimated a 10</w:t>
      </w:r>
      <w:r>
        <w:t xml:space="preserve"> percent </w:t>
      </w:r>
      <w:r w:rsidRPr="00CD6CFB">
        <w:t xml:space="preserve">increase in </w:t>
      </w:r>
      <w:r>
        <w:t xml:space="preserve">insurance </w:t>
      </w:r>
      <w:r w:rsidRPr="00CD6CFB">
        <w:t>premium</w:t>
      </w:r>
      <w:r>
        <w:t>s. It</w:t>
      </w:r>
      <w:r w:rsidRPr="00CD6CFB">
        <w:t xml:space="preserve"> based </w:t>
      </w:r>
      <w:r>
        <w:t xml:space="preserve">this increase in consultation with its </w:t>
      </w:r>
      <w:r w:rsidRPr="00CD6CFB">
        <w:t xml:space="preserve">insurance </w:t>
      </w:r>
      <w:r>
        <w:t>company,</w:t>
      </w:r>
      <w:r w:rsidRPr="00CD6CFB">
        <w:t xml:space="preserve"> along with historical costs over the past two years.</w:t>
      </w:r>
      <w:bookmarkEnd w:id="11"/>
    </w:p>
    <w:p w14:paraId="18064193" w14:textId="77777777" w:rsidR="007465E2" w:rsidRDefault="007465E2" w:rsidP="002C30B9">
      <w:pPr>
        <w:jc w:val="both"/>
      </w:pPr>
    </w:p>
    <w:p w14:paraId="59B8C2BA" w14:textId="77777777" w:rsidR="007465E2" w:rsidRDefault="007465E2" w:rsidP="007C734E">
      <w:pPr>
        <w:pStyle w:val="BodyText"/>
        <w:spacing w:after="0"/>
        <w:ind w:firstLine="720"/>
        <w:jc w:val="both"/>
      </w:pPr>
      <w:r>
        <w:t xml:space="preserve">The proposed </w:t>
      </w:r>
      <w:r w:rsidRPr="009A28D9">
        <w:t>Employee Salaries</w:t>
      </w:r>
      <w:r>
        <w:t xml:space="preserve"> </w:t>
      </w:r>
      <w:r w:rsidRPr="009A28D9">
        <w:t>budget for F</w:t>
      </w:r>
      <w:r>
        <w:t xml:space="preserve">iscal </w:t>
      </w:r>
      <w:r w:rsidRPr="009A28D9">
        <w:t>Y</w:t>
      </w:r>
      <w:r>
        <w:t>ear</w:t>
      </w:r>
      <w:r w:rsidRPr="009A28D9">
        <w:t xml:space="preserve"> 2026/2027</w:t>
      </w:r>
      <w:r>
        <w:t xml:space="preserve"> is $551,721, which is relatively unchanged from the 2025/2026 budget. </w:t>
      </w:r>
      <w:r w:rsidRPr="009A28D9">
        <w:t>Eight full-time employees</w:t>
      </w:r>
      <w:r>
        <w:t xml:space="preserve"> were budgeted for both Fiscal Years. </w:t>
      </w:r>
    </w:p>
    <w:p w14:paraId="20133EBA" w14:textId="77777777" w:rsidR="007465E2" w:rsidRDefault="007465E2" w:rsidP="002C30B9">
      <w:pPr>
        <w:pStyle w:val="BodyText"/>
        <w:spacing w:after="0"/>
        <w:jc w:val="both"/>
      </w:pPr>
    </w:p>
    <w:p w14:paraId="1D5A214A" w14:textId="68241BB3" w:rsidR="007465E2" w:rsidRDefault="00CB55F8" w:rsidP="007C734E">
      <w:pPr>
        <w:pStyle w:val="BodyText"/>
        <w:spacing w:after="0"/>
        <w:ind w:firstLine="720"/>
        <w:jc w:val="both"/>
      </w:pPr>
      <w:r>
        <w:t>We approve</w:t>
      </w:r>
      <w:r w:rsidR="007465E2">
        <w:t xml:space="preserve"> FTRI’s proposed budget</w:t>
      </w:r>
      <w:r w:rsidR="00C5516A">
        <w:t xml:space="preserve"> for Category V expenses</w:t>
      </w:r>
      <w:r w:rsidR="007465E2">
        <w:t xml:space="preserve"> of $1,145,259.</w:t>
      </w:r>
    </w:p>
    <w:p w14:paraId="25BBE4CF" w14:textId="77777777" w:rsidR="007465E2" w:rsidRDefault="007465E2" w:rsidP="002C30B9">
      <w:pPr>
        <w:pStyle w:val="BodyText"/>
        <w:jc w:val="both"/>
        <w:rPr>
          <w:rFonts w:ascii="Arial" w:hAnsi="Arial" w:cs="Arial"/>
          <w:b/>
        </w:rPr>
      </w:pPr>
    </w:p>
    <w:p w14:paraId="34459345" w14:textId="77777777" w:rsidR="007465E2" w:rsidRDefault="007465E2" w:rsidP="002C30B9">
      <w:pPr>
        <w:pStyle w:val="BodyText"/>
        <w:spacing w:after="0"/>
        <w:jc w:val="both"/>
        <w:rPr>
          <w:b/>
        </w:rPr>
      </w:pPr>
      <w:r w:rsidRPr="00CB5CFC">
        <w:rPr>
          <w:b/>
        </w:rPr>
        <w:t>Revenue Shortfall</w:t>
      </w:r>
    </w:p>
    <w:p w14:paraId="7C76812E" w14:textId="77777777" w:rsidR="00CB5CFC" w:rsidRPr="00CB5CFC" w:rsidRDefault="00CB5CFC" w:rsidP="002C30B9">
      <w:pPr>
        <w:pStyle w:val="BodyText"/>
        <w:spacing w:after="0"/>
        <w:jc w:val="both"/>
        <w:rPr>
          <w:b/>
        </w:rPr>
      </w:pPr>
    </w:p>
    <w:p w14:paraId="6C2F8F23" w14:textId="6010870B" w:rsidR="007465E2" w:rsidRPr="00345191" w:rsidRDefault="007465E2" w:rsidP="000F32A8">
      <w:pPr>
        <w:pStyle w:val="BodyText"/>
        <w:spacing w:after="0"/>
        <w:ind w:firstLine="720"/>
        <w:jc w:val="both"/>
        <w:rPr>
          <w:rFonts w:ascii="Arial" w:hAnsi="Arial" w:cs="Arial"/>
          <w:b/>
        </w:rPr>
      </w:pPr>
      <w:r>
        <w:t>FTRI’s Fiscal Year 2026/2027 budget ha</w:t>
      </w:r>
      <w:r w:rsidR="00CB5CFC">
        <w:t>s</w:t>
      </w:r>
      <w:r>
        <w:t xml:space="preserve"> a shortfall of $2,454,849. </w:t>
      </w:r>
      <w:r w:rsidR="00CB5CFC">
        <w:t>FTRI shall</w:t>
      </w:r>
      <w:r>
        <w:t xml:space="preserve"> draw upon the Reserve Account to cover the shortfall. FTRI’s Reserve Account is approximately $19,723,369 million.</w:t>
      </w:r>
    </w:p>
    <w:p w14:paraId="77932015" w14:textId="77777777" w:rsidR="007465E2" w:rsidRDefault="007465E2" w:rsidP="00CB5CFC">
      <w:pPr>
        <w:pStyle w:val="BodyText"/>
        <w:spacing w:after="0"/>
        <w:jc w:val="both"/>
      </w:pPr>
    </w:p>
    <w:p w14:paraId="6242B4E5" w14:textId="79CCABBC" w:rsidR="007465E2" w:rsidRDefault="000F32A8" w:rsidP="002C30B9">
      <w:pPr>
        <w:pStyle w:val="BodyText"/>
        <w:spacing w:after="0"/>
        <w:jc w:val="both"/>
        <w:rPr>
          <w:b/>
        </w:rPr>
      </w:pPr>
      <w:r>
        <w:rPr>
          <w:b/>
        </w:rPr>
        <w:t>Decision</w:t>
      </w:r>
    </w:p>
    <w:p w14:paraId="4DCBB942" w14:textId="77777777" w:rsidR="00CB5CFC" w:rsidRPr="00CB5CFC" w:rsidRDefault="00CB5CFC" w:rsidP="002C30B9">
      <w:pPr>
        <w:pStyle w:val="BodyText"/>
        <w:spacing w:after="0"/>
        <w:jc w:val="both"/>
        <w:rPr>
          <w:b/>
        </w:rPr>
      </w:pPr>
    </w:p>
    <w:p w14:paraId="61AD8AF5" w14:textId="2E4EF452" w:rsidR="007465E2" w:rsidRDefault="00CB5CFC" w:rsidP="00CB5CFC">
      <w:pPr>
        <w:ind w:firstLine="720"/>
        <w:jc w:val="both"/>
      </w:pPr>
      <w:r>
        <w:rPr>
          <w:iCs/>
        </w:rPr>
        <w:t xml:space="preserve">We </w:t>
      </w:r>
      <w:r w:rsidR="007465E2" w:rsidRPr="00D71E00">
        <w:rPr>
          <w:iCs/>
        </w:rPr>
        <w:t>approve</w:t>
      </w:r>
      <w:r w:rsidR="007465E2">
        <w:rPr>
          <w:iCs/>
        </w:rPr>
        <w:t xml:space="preserve"> </w:t>
      </w:r>
      <w:r w:rsidR="007465E2" w:rsidRPr="00D71E00">
        <w:rPr>
          <w:iCs/>
        </w:rPr>
        <w:t xml:space="preserve">FTRI’s proposed budget expense of $4,694,189 for Fiscal Year 2026/2027, effective upon issuance of the consummating order. FTRI </w:t>
      </w:r>
      <w:r>
        <w:rPr>
          <w:iCs/>
        </w:rPr>
        <w:t>shall</w:t>
      </w:r>
      <w:r w:rsidR="007465E2" w:rsidRPr="00D71E00">
        <w:rPr>
          <w:iCs/>
        </w:rPr>
        <w:t xml:space="preserve"> transfer $2,454</w:t>
      </w:r>
      <w:r w:rsidR="007465E2">
        <w:rPr>
          <w:iCs/>
        </w:rPr>
        <w:t>,</w:t>
      </w:r>
      <w:r w:rsidR="007465E2" w:rsidRPr="00D71E00">
        <w:rPr>
          <w:iCs/>
        </w:rPr>
        <w:t xml:space="preserve">849 from the Reserve Account to offset </w:t>
      </w:r>
      <w:r w:rsidR="007465E2">
        <w:rPr>
          <w:iCs/>
        </w:rPr>
        <w:t>the</w:t>
      </w:r>
      <w:r w:rsidR="007465E2" w:rsidRPr="00D71E00">
        <w:rPr>
          <w:iCs/>
        </w:rPr>
        <w:t xml:space="preserve"> projected revenue shortfall.</w:t>
      </w:r>
    </w:p>
    <w:p w14:paraId="69DEE707" w14:textId="77777777" w:rsidR="00CB5CFC" w:rsidRDefault="00CB5CFC" w:rsidP="007C734E">
      <w:pPr>
        <w:pStyle w:val="BodyText"/>
        <w:jc w:val="both"/>
      </w:pPr>
    </w:p>
    <w:p w14:paraId="2A90B824" w14:textId="33D9BB43" w:rsidR="00CB5CFC" w:rsidRDefault="007465E2" w:rsidP="005A1607">
      <w:pPr>
        <w:pStyle w:val="BodyText"/>
        <w:numPr>
          <w:ilvl w:val="0"/>
          <w:numId w:val="3"/>
        </w:numPr>
        <w:spacing w:after="0"/>
        <w:ind w:left="360"/>
        <w:jc w:val="both"/>
        <w:rPr>
          <w:u w:val="single"/>
        </w:rPr>
      </w:pPr>
      <w:r w:rsidRPr="00CB5CFC">
        <w:rPr>
          <w:u w:val="single"/>
        </w:rPr>
        <w:t>FTRI to file quarterly reports for Fiscal Year 2026/2027</w:t>
      </w:r>
    </w:p>
    <w:p w14:paraId="3B1DDD6D" w14:textId="77777777" w:rsidR="005A1607" w:rsidRPr="00CB5CFC" w:rsidRDefault="005A1607" w:rsidP="005A1607">
      <w:pPr>
        <w:pStyle w:val="BodyText"/>
        <w:spacing w:after="0"/>
        <w:ind w:left="360"/>
        <w:jc w:val="both"/>
        <w:rPr>
          <w:u w:val="single"/>
        </w:rPr>
      </w:pPr>
    </w:p>
    <w:p w14:paraId="04F075A8" w14:textId="2BB4C45E" w:rsidR="007465E2" w:rsidRDefault="007465E2" w:rsidP="005A1607">
      <w:pPr>
        <w:pStyle w:val="BodyText"/>
        <w:spacing w:after="0"/>
        <w:ind w:firstLine="360"/>
        <w:jc w:val="both"/>
      </w:pPr>
      <w:r>
        <w:t xml:space="preserve">As discussed in </w:t>
      </w:r>
      <w:r w:rsidR="00CB5CFC">
        <w:t>Section</w:t>
      </w:r>
      <w:r>
        <w:t xml:space="preserve"> 1, based on FTRI’s reliance on demand assumptions, along with the potential for fraud and abuse, it is important that FTRI implement effective procedures. </w:t>
      </w:r>
      <w:r w:rsidR="00CB55F8">
        <w:t>We</w:t>
      </w:r>
      <w:r>
        <w:t xml:space="preserve"> presented questions to FTRI during the initial analysis of operating procedures, cost, and assumptions used to measure demand. </w:t>
      </w:r>
      <w:r w:rsidR="00CB55F8">
        <w:t>We find that</w:t>
      </w:r>
      <w:r>
        <w:t xml:space="preserve"> FTRI’s responses were reasonable. However, continued monitoring will be needed to validate assumptions and to collect data to address distribution issues </w:t>
      </w:r>
      <w:r w:rsidR="00CB55F8">
        <w:t>as</w:t>
      </w:r>
      <w:r>
        <w:t xml:space="preserve"> they arise.</w:t>
      </w:r>
    </w:p>
    <w:p w14:paraId="7872C3DE" w14:textId="77777777" w:rsidR="005A1607" w:rsidRDefault="005A1607" w:rsidP="005A1607">
      <w:pPr>
        <w:pStyle w:val="BodyText"/>
        <w:spacing w:after="0"/>
        <w:ind w:firstLine="360"/>
        <w:jc w:val="both"/>
      </w:pPr>
    </w:p>
    <w:p w14:paraId="17DE639C" w14:textId="24A481FD" w:rsidR="007465E2" w:rsidRDefault="007C734E" w:rsidP="007C734E">
      <w:pPr>
        <w:pStyle w:val="BodyText"/>
        <w:ind w:firstLine="360"/>
        <w:jc w:val="both"/>
      </w:pPr>
      <w:r>
        <w:t>T</w:t>
      </w:r>
      <w:r w:rsidR="007465E2">
        <w:t xml:space="preserve">he quarterly reports </w:t>
      </w:r>
      <w:r>
        <w:t xml:space="preserve">shall </w:t>
      </w:r>
      <w:r w:rsidR="007465E2">
        <w:t xml:space="preserve">include the following information regarding specialized communications technology devices: </w:t>
      </w:r>
    </w:p>
    <w:p w14:paraId="49A00647" w14:textId="77777777" w:rsidR="007465E2" w:rsidRDefault="007465E2" w:rsidP="007465E2">
      <w:pPr>
        <w:pStyle w:val="BodyText"/>
        <w:numPr>
          <w:ilvl w:val="0"/>
          <w:numId w:val="2"/>
        </w:numPr>
        <w:spacing w:after="0"/>
        <w:jc w:val="both"/>
      </w:pPr>
      <w:r>
        <w:t>Number of devices ordered by type.</w:t>
      </w:r>
    </w:p>
    <w:p w14:paraId="1B1DAAE3" w14:textId="77777777" w:rsidR="007465E2" w:rsidRDefault="007465E2" w:rsidP="007465E2">
      <w:pPr>
        <w:pStyle w:val="BodyText"/>
        <w:numPr>
          <w:ilvl w:val="0"/>
          <w:numId w:val="2"/>
        </w:numPr>
        <w:spacing w:after="0"/>
        <w:jc w:val="both"/>
      </w:pPr>
      <w:r>
        <w:t>Number of devices distributed by type.</w:t>
      </w:r>
    </w:p>
    <w:p w14:paraId="5C3178D1" w14:textId="77777777" w:rsidR="007465E2" w:rsidRDefault="007465E2" w:rsidP="007465E2">
      <w:pPr>
        <w:pStyle w:val="BodyText"/>
        <w:numPr>
          <w:ilvl w:val="0"/>
          <w:numId w:val="2"/>
        </w:numPr>
        <w:spacing w:after="0"/>
        <w:jc w:val="both"/>
      </w:pPr>
      <w:r>
        <w:t>Number of devices in inventory by type.</w:t>
      </w:r>
    </w:p>
    <w:p w14:paraId="70F4C629" w14:textId="77777777" w:rsidR="007465E2" w:rsidRDefault="007465E2" w:rsidP="007465E2">
      <w:pPr>
        <w:pStyle w:val="BodyText"/>
        <w:numPr>
          <w:ilvl w:val="0"/>
          <w:numId w:val="2"/>
        </w:numPr>
        <w:spacing w:after="0"/>
        <w:jc w:val="both"/>
      </w:pPr>
      <w:r>
        <w:t>Number of devices reported lost by type.</w:t>
      </w:r>
    </w:p>
    <w:p w14:paraId="796303BC" w14:textId="77777777" w:rsidR="007465E2" w:rsidRDefault="007465E2" w:rsidP="007465E2">
      <w:pPr>
        <w:pStyle w:val="BodyText"/>
        <w:numPr>
          <w:ilvl w:val="0"/>
          <w:numId w:val="2"/>
        </w:numPr>
        <w:spacing w:after="0"/>
        <w:jc w:val="both"/>
      </w:pPr>
      <w:r>
        <w:t>Number of devices reported stolen by type.</w:t>
      </w:r>
    </w:p>
    <w:p w14:paraId="6693326A" w14:textId="77777777" w:rsidR="007465E2" w:rsidRDefault="007465E2" w:rsidP="007465E2">
      <w:pPr>
        <w:pStyle w:val="BodyText"/>
        <w:numPr>
          <w:ilvl w:val="0"/>
          <w:numId w:val="2"/>
        </w:numPr>
        <w:spacing w:after="0"/>
        <w:jc w:val="both"/>
      </w:pPr>
      <w:r>
        <w:t>Number of devices returned damaged by type.</w:t>
      </w:r>
    </w:p>
    <w:p w14:paraId="3801F4BC" w14:textId="77777777" w:rsidR="007465E2" w:rsidRDefault="007465E2" w:rsidP="007465E2">
      <w:pPr>
        <w:pStyle w:val="BodyText"/>
        <w:numPr>
          <w:ilvl w:val="0"/>
          <w:numId w:val="2"/>
        </w:numPr>
        <w:spacing w:after="0"/>
        <w:jc w:val="both"/>
      </w:pPr>
      <w:r>
        <w:t>Number of devices refurbished and returned to clients</w:t>
      </w:r>
      <w:r w:rsidRPr="00A822E2">
        <w:t xml:space="preserve"> </w:t>
      </w:r>
      <w:r>
        <w:t>by type.</w:t>
      </w:r>
    </w:p>
    <w:p w14:paraId="3E169D2C" w14:textId="77777777" w:rsidR="007465E2" w:rsidRDefault="007465E2" w:rsidP="007465E2">
      <w:pPr>
        <w:pStyle w:val="BodyText"/>
        <w:numPr>
          <w:ilvl w:val="0"/>
          <w:numId w:val="2"/>
        </w:numPr>
        <w:spacing w:after="0"/>
        <w:jc w:val="both"/>
      </w:pPr>
      <w:r>
        <w:t xml:space="preserve">Number returned by clients and taken out of service. </w:t>
      </w:r>
    </w:p>
    <w:p w14:paraId="049888C4" w14:textId="77777777" w:rsidR="007465E2" w:rsidRDefault="007465E2" w:rsidP="002C30B9">
      <w:pPr>
        <w:pStyle w:val="BodyText"/>
        <w:numPr>
          <w:ilvl w:val="0"/>
          <w:numId w:val="2"/>
        </w:numPr>
        <w:spacing w:after="0"/>
        <w:jc w:val="both"/>
      </w:pPr>
      <w:r>
        <w:t>Quarterly and year-to-date expenses.</w:t>
      </w:r>
    </w:p>
    <w:p w14:paraId="6AC36A44" w14:textId="77777777" w:rsidR="007465E2" w:rsidRDefault="007465E2" w:rsidP="002C30B9">
      <w:pPr>
        <w:pStyle w:val="BodyText"/>
        <w:numPr>
          <w:ilvl w:val="0"/>
          <w:numId w:val="2"/>
        </w:numPr>
        <w:spacing w:after="0"/>
        <w:jc w:val="both"/>
      </w:pPr>
      <w:r>
        <w:lastRenderedPageBreak/>
        <w:t>Any revisions to the methodology and/or assumptions used to identify the addressable client base.</w:t>
      </w:r>
    </w:p>
    <w:p w14:paraId="65D0B334" w14:textId="77777777" w:rsidR="007465E2" w:rsidRDefault="007465E2" w:rsidP="002C30B9">
      <w:pPr>
        <w:pStyle w:val="BodyText"/>
        <w:spacing w:after="0"/>
        <w:ind w:left="720"/>
        <w:jc w:val="both"/>
      </w:pPr>
    </w:p>
    <w:p w14:paraId="1277BF70" w14:textId="0457DE4F" w:rsidR="007465E2" w:rsidRDefault="007C734E" w:rsidP="007C734E">
      <w:pPr>
        <w:pStyle w:val="IssueHeading"/>
        <w:ind w:firstLine="360"/>
        <w:rPr>
          <w:rFonts w:ascii="Times New Roman" w:hAnsi="Times New Roman" w:cs="Times New Roman"/>
          <w:b w:val="0"/>
          <w:i w:val="0"/>
        </w:rPr>
      </w:pPr>
      <w:r>
        <w:rPr>
          <w:rFonts w:ascii="Times New Roman" w:hAnsi="Times New Roman" w:cs="Times New Roman"/>
          <w:b w:val="0"/>
          <w:i w:val="0"/>
        </w:rPr>
        <w:t xml:space="preserve">We </w:t>
      </w:r>
      <w:r w:rsidR="007465E2">
        <w:rPr>
          <w:rFonts w:ascii="Times New Roman" w:hAnsi="Times New Roman" w:cs="Times New Roman"/>
          <w:b w:val="0"/>
          <w:i w:val="0"/>
        </w:rPr>
        <w:t xml:space="preserve">will evaluate the data throughout Fiscal Year 2026/2027 and make a </w:t>
      </w:r>
      <w:r w:rsidR="006C21F7">
        <w:rPr>
          <w:rFonts w:ascii="Times New Roman" w:hAnsi="Times New Roman" w:cs="Times New Roman"/>
          <w:b w:val="0"/>
          <w:i w:val="0"/>
        </w:rPr>
        <w:t>finding</w:t>
      </w:r>
      <w:r w:rsidR="007465E2">
        <w:rPr>
          <w:rFonts w:ascii="Times New Roman" w:hAnsi="Times New Roman" w:cs="Times New Roman"/>
          <w:b w:val="0"/>
          <w:i w:val="0"/>
        </w:rPr>
        <w:t xml:space="preserve"> on the need to continue the quarterly reporting during the analysis of FTRI’s Fiscal Year 2027/2028 budget filing.</w:t>
      </w:r>
    </w:p>
    <w:p w14:paraId="21DD56C2" w14:textId="33B0861F" w:rsidR="007465E2" w:rsidRDefault="00CB55F8" w:rsidP="000F32A8">
      <w:pPr>
        <w:ind w:firstLine="360"/>
        <w:jc w:val="both"/>
      </w:pPr>
      <w:r>
        <w:rPr>
          <w:iCs/>
        </w:rPr>
        <w:t>We</w:t>
      </w:r>
      <w:r w:rsidR="007465E2" w:rsidRPr="002A0BE4">
        <w:rPr>
          <w:iCs/>
        </w:rPr>
        <w:t xml:space="preserve"> order FTRI to file </w:t>
      </w:r>
      <w:r w:rsidR="007465E2">
        <w:rPr>
          <w:iCs/>
        </w:rPr>
        <w:t>q</w:t>
      </w:r>
      <w:r w:rsidR="007465E2" w:rsidRPr="002A0BE4">
        <w:rPr>
          <w:iCs/>
        </w:rPr>
        <w:t xml:space="preserve">uarterly </w:t>
      </w:r>
      <w:r w:rsidR="007465E2">
        <w:rPr>
          <w:iCs/>
        </w:rPr>
        <w:t>r</w:t>
      </w:r>
      <w:r w:rsidR="007465E2" w:rsidRPr="002A0BE4">
        <w:rPr>
          <w:iCs/>
        </w:rPr>
        <w:t xml:space="preserve">eports </w:t>
      </w:r>
      <w:r w:rsidR="007465E2">
        <w:rPr>
          <w:iCs/>
        </w:rPr>
        <w:t xml:space="preserve">for </w:t>
      </w:r>
      <w:r w:rsidR="007465E2" w:rsidRPr="002A0BE4">
        <w:rPr>
          <w:iCs/>
        </w:rPr>
        <w:t>Fiscal Year 2026/2027</w:t>
      </w:r>
      <w:r w:rsidR="007465E2">
        <w:rPr>
          <w:iCs/>
        </w:rPr>
        <w:t xml:space="preserve"> </w:t>
      </w:r>
      <w:r w:rsidR="007465E2" w:rsidRPr="002A0BE4">
        <w:rPr>
          <w:iCs/>
        </w:rPr>
        <w:t>providing details on specialized communications technology device distribution.</w:t>
      </w:r>
    </w:p>
    <w:p w14:paraId="77A503F4" w14:textId="77777777" w:rsidR="005A1607" w:rsidRDefault="005A1607" w:rsidP="002C30B9">
      <w:pPr>
        <w:pStyle w:val="BodyText"/>
        <w:jc w:val="both"/>
      </w:pPr>
    </w:p>
    <w:p w14:paraId="13C5B836" w14:textId="169BE3A8" w:rsidR="007465E2" w:rsidRDefault="007465E2" w:rsidP="005A1607">
      <w:pPr>
        <w:pStyle w:val="BodyText"/>
        <w:numPr>
          <w:ilvl w:val="0"/>
          <w:numId w:val="3"/>
        </w:numPr>
        <w:spacing w:after="0"/>
        <w:ind w:left="360"/>
        <w:jc w:val="both"/>
        <w:rPr>
          <w:u w:val="single"/>
        </w:rPr>
      </w:pPr>
      <w:r w:rsidRPr="005A1607">
        <w:rPr>
          <w:u w:val="single"/>
        </w:rPr>
        <w:t>Telecommunications Relay Service (TRS) surcharge for Fiscal Year 2026/2027</w:t>
      </w:r>
    </w:p>
    <w:p w14:paraId="6BCC8575" w14:textId="77777777" w:rsidR="005A1607" w:rsidRPr="005A1607" w:rsidRDefault="005A1607" w:rsidP="005A1607">
      <w:pPr>
        <w:pStyle w:val="BodyText"/>
        <w:spacing w:after="0"/>
        <w:jc w:val="both"/>
        <w:rPr>
          <w:u w:val="single"/>
        </w:rPr>
      </w:pPr>
    </w:p>
    <w:p w14:paraId="68177228" w14:textId="39F82337" w:rsidR="007465E2" w:rsidRDefault="007465E2" w:rsidP="00D47639">
      <w:pPr>
        <w:ind w:firstLine="720"/>
        <w:jc w:val="both"/>
      </w:pPr>
      <w:r>
        <w:t xml:space="preserve">FTRI has not requested a change in the TRS surcharge. </w:t>
      </w:r>
      <w:bookmarkStart w:id="12" w:name="_Hlk233112890"/>
      <w:r w:rsidR="00CB55F8">
        <w:t>We</w:t>
      </w:r>
      <w:r>
        <w:t xml:space="preserve"> note that pursuant to the 2025 amendments to TASA, Section 427.704(4)(e), F.S., now prohibits </w:t>
      </w:r>
      <w:r w:rsidR="00CB55F8">
        <w:t>us</w:t>
      </w:r>
      <w:r>
        <w:t xml:space="preserve"> from increasing the surcharge when excess funds are available.</w:t>
      </w:r>
      <w:bookmarkEnd w:id="12"/>
      <w:r>
        <w:t xml:space="preserve"> </w:t>
      </w:r>
      <w:r w:rsidR="00CB55F8">
        <w:t>We find</w:t>
      </w:r>
      <w:r>
        <w:t xml:space="preserve"> the current TRS surcharge of $0.08 per line, per month is reasonable given the size of the Reserve Account identified in </w:t>
      </w:r>
      <w:r w:rsidR="005A1607">
        <w:t>Section</w:t>
      </w:r>
      <w:r>
        <w:t xml:space="preserve"> 1.</w:t>
      </w:r>
    </w:p>
    <w:p w14:paraId="3757CE93" w14:textId="77777777" w:rsidR="007465E2" w:rsidRDefault="007465E2" w:rsidP="002C30B9">
      <w:pPr>
        <w:jc w:val="both"/>
      </w:pPr>
    </w:p>
    <w:p w14:paraId="40549CA7" w14:textId="77777777" w:rsidR="003715FD" w:rsidRPr="00692EBC" w:rsidRDefault="003715FD" w:rsidP="003715FD">
      <w:r w:rsidRPr="00692EBC">
        <w:tab/>
        <w:t>Based on the foregoing, it is</w:t>
      </w:r>
    </w:p>
    <w:p w14:paraId="090A89F7" w14:textId="77777777" w:rsidR="003715FD" w:rsidRPr="00692EBC" w:rsidRDefault="003715FD" w:rsidP="003715FD"/>
    <w:p w14:paraId="158C9E40" w14:textId="3FCD0241" w:rsidR="007C734E" w:rsidRDefault="003715FD" w:rsidP="007C734E">
      <w:pPr>
        <w:jc w:val="both"/>
      </w:pPr>
      <w:r w:rsidRPr="00692EBC">
        <w:tab/>
        <w:t xml:space="preserve">ORDERED by the Florida Public Service Commission that </w:t>
      </w:r>
      <w:r w:rsidR="007C734E">
        <w:t>Florida Telecommunications Relay, Inc.’s</w:t>
      </w:r>
      <w:r w:rsidR="007C734E" w:rsidRPr="00A84216">
        <w:t xml:space="preserve"> proposed budget expense of $4,</w:t>
      </w:r>
      <w:r w:rsidR="007C734E">
        <w:t xml:space="preserve">694,189 </w:t>
      </w:r>
      <w:r w:rsidR="007C734E" w:rsidRPr="00A84216">
        <w:t>for Fiscal Year 202</w:t>
      </w:r>
      <w:r w:rsidR="007C734E">
        <w:t>6</w:t>
      </w:r>
      <w:r w:rsidR="007C734E" w:rsidRPr="00A84216">
        <w:t>/202</w:t>
      </w:r>
      <w:r w:rsidR="007C734E">
        <w:t>7</w:t>
      </w:r>
      <w:r w:rsidR="007C734E" w:rsidRPr="00A84216">
        <w:t xml:space="preserve">, </w:t>
      </w:r>
      <w:r w:rsidR="007C734E">
        <w:t>is approved</w:t>
      </w:r>
      <w:r w:rsidR="007C734E" w:rsidRPr="00A84216">
        <w:t>.</w:t>
      </w:r>
      <w:r w:rsidR="007C734E">
        <w:t xml:space="preserve"> It is further </w:t>
      </w:r>
    </w:p>
    <w:p w14:paraId="61EF22D9" w14:textId="77777777" w:rsidR="007C734E" w:rsidRDefault="007C734E" w:rsidP="007C734E">
      <w:pPr>
        <w:jc w:val="both"/>
      </w:pPr>
    </w:p>
    <w:p w14:paraId="18C13DB8" w14:textId="6C957FD2" w:rsidR="007C734E" w:rsidRDefault="007C734E" w:rsidP="007C734E">
      <w:pPr>
        <w:ind w:firstLine="720"/>
        <w:jc w:val="both"/>
      </w:pPr>
      <w:r>
        <w:t>ORDERED that</w:t>
      </w:r>
      <w:r w:rsidRPr="007C734E">
        <w:t xml:space="preserve"> </w:t>
      </w:r>
      <w:r>
        <w:t>Florida Telecommunications Relay, Inc.</w:t>
      </w:r>
      <w:r w:rsidRPr="00A84216">
        <w:t xml:space="preserve"> </w:t>
      </w:r>
      <w:r w:rsidR="000F32A8">
        <w:t xml:space="preserve">shall </w:t>
      </w:r>
      <w:r w:rsidRPr="00A84216">
        <w:t>transfer $</w:t>
      </w:r>
      <w:r>
        <w:t xml:space="preserve">2,454,849 </w:t>
      </w:r>
      <w:r w:rsidRPr="00A84216">
        <w:t xml:space="preserve">from the Reserve Account to offset </w:t>
      </w:r>
      <w:r>
        <w:t xml:space="preserve">the </w:t>
      </w:r>
      <w:r w:rsidRPr="00A84216">
        <w:t>projected revenue shortfall.</w:t>
      </w:r>
      <w:r>
        <w:t xml:space="preserve"> It is further</w:t>
      </w:r>
    </w:p>
    <w:p w14:paraId="081FEB51" w14:textId="77777777" w:rsidR="007C734E" w:rsidRDefault="007C734E" w:rsidP="007C734E">
      <w:pPr>
        <w:ind w:firstLine="720"/>
        <w:jc w:val="both"/>
      </w:pPr>
    </w:p>
    <w:p w14:paraId="6AFF28A6" w14:textId="3834EA59" w:rsidR="007C734E" w:rsidRDefault="007C734E" w:rsidP="007C734E">
      <w:pPr>
        <w:ind w:firstLine="720"/>
        <w:jc w:val="both"/>
      </w:pPr>
      <w:r>
        <w:t>ORDERED that Florida Telecommunications Relay, Inc. shall file quarterly reports for Fiscal Year 2026/2027 providing details on specialized communications technology device distribution. It is further</w:t>
      </w:r>
    </w:p>
    <w:p w14:paraId="1F46B0AF" w14:textId="77777777" w:rsidR="007C734E" w:rsidRDefault="007C734E" w:rsidP="007C734E">
      <w:pPr>
        <w:ind w:firstLine="720"/>
        <w:jc w:val="both"/>
      </w:pPr>
    </w:p>
    <w:p w14:paraId="50CACB1F" w14:textId="3D87EDC7" w:rsidR="007C734E" w:rsidRDefault="007C734E" w:rsidP="007C734E">
      <w:pPr>
        <w:ind w:firstLine="720"/>
        <w:jc w:val="both"/>
      </w:pPr>
      <w:r>
        <w:t xml:space="preserve">ORDERED that the current </w:t>
      </w:r>
      <w:r w:rsidR="00D47639">
        <w:t>Telecommunications Relay Service</w:t>
      </w:r>
      <w:r>
        <w:t xml:space="preserve"> surcharge </w:t>
      </w:r>
      <w:r w:rsidR="005A1607">
        <w:t>shall be</w:t>
      </w:r>
      <w:r>
        <w:t xml:space="preserve"> $0.08 per line, per month for Fiscal Year 2026/2027. </w:t>
      </w:r>
      <w:r w:rsidR="00A87155">
        <w:t>A</w:t>
      </w:r>
      <w:r>
        <w:t xml:space="preserve">ll local exchange companies </w:t>
      </w:r>
      <w:r w:rsidR="00A87155">
        <w:t>shall</w:t>
      </w:r>
      <w:r>
        <w:t xml:space="preserve"> continue billing the $0.08 TRS surcharge for Fiscal Year 2026/2027. It is further</w:t>
      </w:r>
    </w:p>
    <w:p w14:paraId="01581214" w14:textId="77777777" w:rsidR="007C734E" w:rsidRDefault="007C734E" w:rsidP="007C734E">
      <w:pPr>
        <w:ind w:firstLine="720"/>
        <w:jc w:val="both"/>
      </w:pPr>
    </w:p>
    <w:p w14:paraId="47D59561" w14:textId="6A42A03E" w:rsidR="007C734E" w:rsidRDefault="007C734E" w:rsidP="007C734E">
      <w:pPr>
        <w:ind w:firstLine="720"/>
        <w:jc w:val="both"/>
      </w:pPr>
      <w:r>
        <w:t xml:space="preserve">ORDERED </w:t>
      </w:r>
      <w:r w:rsidR="00A87155">
        <w:t>that i</w:t>
      </w:r>
      <w:r w:rsidR="00A87155" w:rsidRPr="0003089D">
        <w:t>f no person whose substantial interests are affected by the proposed agency action files a protest within 21 days of the issuance of the order, a consummating order shall be issued.</w:t>
      </w:r>
      <w:r w:rsidR="005E58E7">
        <w:t xml:space="preserve"> </w:t>
      </w:r>
      <w:r w:rsidR="00A87155">
        <w:t>T</w:t>
      </w:r>
      <w:r w:rsidR="005E58E7">
        <w:t>his docket sh</w:t>
      </w:r>
      <w:r w:rsidR="00A87155">
        <w:t>all</w:t>
      </w:r>
      <w:r w:rsidR="005E58E7">
        <w:t xml:space="preserve"> be placed in monitoring status during Fiscal Year 2026/2027 upon the issuance of a consummating order.</w:t>
      </w:r>
    </w:p>
    <w:p w14:paraId="117B7BF8" w14:textId="77777777" w:rsidR="007C734E" w:rsidRDefault="007C734E" w:rsidP="007C734E"/>
    <w:p w14:paraId="4D7B4617" w14:textId="77777777" w:rsidR="00D47639" w:rsidRDefault="00D47639" w:rsidP="007C734E"/>
    <w:p w14:paraId="6BA939E3" w14:textId="77777777" w:rsidR="00D47639" w:rsidRDefault="00D47639" w:rsidP="007C734E"/>
    <w:p w14:paraId="7397A8EF" w14:textId="77777777" w:rsidR="00D47639" w:rsidRDefault="00D47639" w:rsidP="007C734E"/>
    <w:p w14:paraId="4B46DABC" w14:textId="77777777" w:rsidR="00D47639" w:rsidRDefault="00D47639" w:rsidP="007C734E"/>
    <w:p w14:paraId="222AE8F6" w14:textId="77777777" w:rsidR="00D47639" w:rsidRDefault="00D47639" w:rsidP="007C734E"/>
    <w:p w14:paraId="1B0B73F4" w14:textId="77777777" w:rsidR="00D47639" w:rsidRDefault="00D47639" w:rsidP="007C734E"/>
    <w:p w14:paraId="674CD622" w14:textId="77777777" w:rsidR="00D47639" w:rsidRDefault="00D47639" w:rsidP="007C734E"/>
    <w:p w14:paraId="15B06932" w14:textId="166B30FE" w:rsidR="007451E5" w:rsidRDefault="007451E5" w:rsidP="00BB124A">
      <w:r>
        <w:tab/>
        <w:t xml:space="preserve">By ORDER of the Florida Public Service Commission this </w:t>
      </w:r>
      <w:bookmarkStart w:id="13" w:name="replaceDate"/>
      <w:bookmarkEnd w:id="13"/>
      <w:r w:rsidR="00BB124A">
        <w:rPr>
          <w:u w:val="single"/>
        </w:rPr>
        <w:t>27th</w:t>
      </w:r>
      <w:r w:rsidR="00BB124A">
        <w:t xml:space="preserve"> day of </w:t>
      </w:r>
      <w:r w:rsidR="00BB124A">
        <w:rPr>
          <w:u w:val="single"/>
        </w:rPr>
        <w:t>July</w:t>
      </w:r>
      <w:r w:rsidR="00BB124A">
        <w:t xml:space="preserve">, </w:t>
      </w:r>
      <w:r w:rsidR="00BB124A">
        <w:rPr>
          <w:u w:val="single"/>
        </w:rPr>
        <w:t>2026</w:t>
      </w:r>
      <w:r w:rsidR="00BB124A">
        <w:t>.</w:t>
      </w:r>
    </w:p>
    <w:p w14:paraId="13BD4C10" w14:textId="77777777" w:rsidR="00BB124A" w:rsidRPr="00BB124A" w:rsidRDefault="00BB124A" w:rsidP="00BB124A"/>
    <w:p w14:paraId="0D585CC9" w14:textId="77777777" w:rsidR="007451E5" w:rsidRDefault="007451E5" w:rsidP="007451E5">
      <w:pPr>
        <w:keepNext/>
        <w:keepLines/>
        <w:jc w:val="both"/>
      </w:pPr>
    </w:p>
    <w:p w14:paraId="32B2B6F1" w14:textId="77777777" w:rsidR="007451E5" w:rsidRDefault="007451E5" w:rsidP="007451E5">
      <w:pPr>
        <w:keepNext/>
        <w:keepLines/>
        <w:jc w:val="both"/>
      </w:pPr>
    </w:p>
    <w:p w14:paraId="497DAC28" w14:textId="77777777" w:rsidR="007451E5" w:rsidRDefault="007451E5" w:rsidP="007451E5">
      <w:pPr>
        <w:keepNext/>
        <w:keepLines/>
        <w:jc w:val="both"/>
      </w:pPr>
    </w:p>
    <w:p w14:paraId="6CE7CA18" w14:textId="77777777" w:rsidR="00BB124A" w:rsidRDefault="00BB124A" w:rsidP="007451E5">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7451E5" w14:paraId="12B8B658" w14:textId="77777777" w:rsidTr="007451E5">
        <w:tc>
          <w:tcPr>
            <w:tcW w:w="720" w:type="dxa"/>
            <w:shd w:val="clear" w:color="auto" w:fill="auto"/>
          </w:tcPr>
          <w:p w14:paraId="7844839A" w14:textId="77777777" w:rsidR="007451E5" w:rsidRDefault="007451E5" w:rsidP="007451E5">
            <w:pPr>
              <w:keepNext/>
              <w:keepLines/>
              <w:jc w:val="both"/>
            </w:pPr>
            <w:bookmarkStart w:id="14" w:name="bkmrkSignature" w:colFirst="0" w:colLast="0"/>
          </w:p>
        </w:tc>
        <w:tc>
          <w:tcPr>
            <w:tcW w:w="4320" w:type="dxa"/>
            <w:tcBorders>
              <w:bottom w:val="single" w:sz="4" w:space="0" w:color="auto"/>
            </w:tcBorders>
            <w:shd w:val="clear" w:color="auto" w:fill="auto"/>
          </w:tcPr>
          <w:p w14:paraId="7779B243" w14:textId="3DC0391C" w:rsidR="007451E5" w:rsidRDefault="00A61877" w:rsidP="007451E5">
            <w:pPr>
              <w:keepNext/>
              <w:keepLines/>
              <w:jc w:val="both"/>
            </w:pPr>
            <w:r>
              <w:t>/s/ Adam J. Teitzman</w:t>
            </w:r>
          </w:p>
        </w:tc>
      </w:tr>
      <w:bookmarkEnd w:id="14"/>
      <w:tr w:rsidR="007451E5" w14:paraId="10D44913" w14:textId="77777777" w:rsidTr="007451E5">
        <w:tc>
          <w:tcPr>
            <w:tcW w:w="720" w:type="dxa"/>
            <w:shd w:val="clear" w:color="auto" w:fill="auto"/>
          </w:tcPr>
          <w:p w14:paraId="53380723" w14:textId="77777777" w:rsidR="007451E5" w:rsidRDefault="007451E5" w:rsidP="007451E5">
            <w:pPr>
              <w:keepNext/>
              <w:keepLines/>
              <w:jc w:val="both"/>
            </w:pPr>
          </w:p>
        </w:tc>
        <w:tc>
          <w:tcPr>
            <w:tcW w:w="4320" w:type="dxa"/>
            <w:tcBorders>
              <w:top w:val="single" w:sz="4" w:space="0" w:color="auto"/>
            </w:tcBorders>
            <w:shd w:val="clear" w:color="auto" w:fill="auto"/>
          </w:tcPr>
          <w:p w14:paraId="28A24AD0" w14:textId="77777777" w:rsidR="007451E5" w:rsidRDefault="007451E5" w:rsidP="007451E5">
            <w:pPr>
              <w:keepNext/>
              <w:keepLines/>
              <w:jc w:val="both"/>
            </w:pPr>
            <w:r>
              <w:t>ADAM TEITZMAN</w:t>
            </w:r>
          </w:p>
          <w:p w14:paraId="2776BA42" w14:textId="751CE06E" w:rsidR="007451E5" w:rsidRDefault="007451E5" w:rsidP="007451E5">
            <w:pPr>
              <w:keepNext/>
              <w:keepLines/>
              <w:jc w:val="both"/>
            </w:pPr>
            <w:r>
              <w:t>Commission Clerk</w:t>
            </w:r>
          </w:p>
        </w:tc>
      </w:tr>
    </w:tbl>
    <w:p w14:paraId="74DB97EF" w14:textId="77777777" w:rsidR="007451E5" w:rsidRDefault="007451E5" w:rsidP="007451E5">
      <w:pPr>
        <w:pStyle w:val="OrderSigInfo"/>
        <w:keepNext/>
        <w:keepLines/>
      </w:pPr>
      <w:r>
        <w:t>Florida Public Service Commission</w:t>
      </w:r>
    </w:p>
    <w:p w14:paraId="43697238" w14:textId="77777777" w:rsidR="007451E5" w:rsidRDefault="007451E5" w:rsidP="007451E5">
      <w:pPr>
        <w:pStyle w:val="OrderSigInfo"/>
        <w:keepNext/>
        <w:keepLines/>
      </w:pPr>
      <w:r>
        <w:t>2540 Shumard Oak Boulevard</w:t>
      </w:r>
    </w:p>
    <w:p w14:paraId="6B8FA04A" w14:textId="77777777" w:rsidR="007451E5" w:rsidRDefault="007451E5" w:rsidP="007451E5">
      <w:pPr>
        <w:pStyle w:val="OrderSigInfo"/>
        <w:keepNext/>
        <w:keepLines/>
      </w:pPr>
      <w:r>
        <w:t>Tallahassee, Florida 32399</w:t>
      </w:r>
    </w:p>
    <w:p w14:paraId="625E8154" w14:textId="77777777" w:rsidR="007451E5" w:rsidRDefault="007451E5" w:rsidP="007451E5">
      <w:pPr>
        <w:pStyle w:val="OrderSigInfo"/>
        <w:keepNext/>
        <w:keepLines/>
      </w:pPr>
      <w:r>
        <w:t>(850) 413</w:t>
      </w:r>
      <w:r>
        <w:noBreakHyphen/>
        <w:t>6770</w:t>
      </w:r>
    </w:p>
    <w:p w14:paraId="7B798F4E" w14:textId="77777777" w:rsidR="007451E5" w:rsidRDefault="007451E5" w:rsidP="007451E5">
      <w:pPr>
        <w:pStyle w:val="OrderSigInfo"/>
        <w:keepNext/>
        <w:keepLines/>
      </w:pPr>
      <w:r>
        <w:t>www.floridapsc.com</w:t>
      </w:r>
    </w:p>
    <w:p w14:paraId="7BB71F7C" w14:textId="77777777" w:rsidR="007451E5" w:rsidRDefault="007451E5" w:rsidP="007451E5">
      <w:pPr>
        <w:pStyle w:val="OrderSigInfo"/>
        <w:keepNext/>
        <w:keepLines/>
      </w:pPr>
    </w:p>
    <w:p w14:paraId="1F102AC9" w14:textId="03B0B558" w:rsidR="007451E5" w:rsidRDefault="007451E5" w:rsidP="007451E5">
      <w:pPr>
        <w:pStyle w:val="OrderSigInfo"/>
        <w:keepNext/>
        <w:keepLines/>
      </w:pPr>
      <w:r>
        <w:t>Copies furnished: A copy of this document is provided to the parties of record at the time of issuance and, if applicable, interested persons.</w:t>
      </w:r>
    </w:p>
    <w:p w14:paraId="39A1CFFD" w14:textId="1AC5530F" w:rsidR="007451E5" w:rsidRDefault="007451E5" w:rsidP="007451E5">
      <w:pPr>
        <w:pStyle w:val="OrderBody"/>
        <w:keepNext/>
        <w:keepLines/>
      </w:pPr>
    </w:p>
    <w:p w14:paraId="2C42B73C" w14:textId="77777777" w:rsidR="007451E5" w:rsidRDefault="007451E5" w:rsidP="007451E5">
      <w:pPr>
        <w:keepNext/>
        <w:keepLines/>
        <w:jc w:val="both"/>
      </w:pPr>
    </w:p>
    <w:p w14:paraId="378FAA83" w14:textId="36651E36" w:rsidR="007451E5" w:rsidRDefault="007451E5" w:rsidP="007451E5">
      <w:pPr>
        <w:keepNext/>
        <w:keepLines/>
        <w:jc w:val="both"/>
      </w:pPr>
      <w:r>
        <w:t>JDI</w:t>
      </w:r>
    </w:p>
    <w:p w14:paraId="4E01BC10" w14:textId="77777777" w:rsidR="007451E5" w:rsidRDefault="007451E5" w:rsidP="007451E5">
      <w:pPr>
        <w:jc w:val="both"/>
      </w:pPr>
    </w:p>
    <w:p w14:paraId="0112363D" w14:textId="77777777" w:rsidR="007451E5" w:rsidRDefault="007451E5" w:rsidP="007451E5">
      <w:pPr>
        <w:jc w:val="both"/>
      </w:pPr>
    </w:p>
    <w:p w14:paraId="4037A1C6" w14:textId="77777777" w:rsidR="007451E5" w:rsidRDefault="007451E5" w:rsidP="007451E5">
      <w:pPr>
        <w:jc w:val="both"/>
      </w:pPr>
    </w:p>
    <w:p w14:paraId="62A206D8" w14:textId="6044DAD4" w:rsidR="007451E5" w:rsidRDefault="007451E5">
      <w:r>
        <w:br w:type="page"/>
      </w:r>
    </w:p>
    <w:p w14:paraId="4C8BCF5B" w14:textId="77777777" w:rsidR="007451E5" w:rsidRDefault="007451E5" w:rsidP="007451E5">
      <w:pPr>
        <w:jc w:val="both"/>
      </w:pPr>
    </w:p>
    <w:p w14:paraId="369E23D3" w14:textId="77777777" w:rsidR="007451E5" w:rsidRDefault="007451E5" w:rsidP="007451E5">
      <w:pPr>
        <w:pStyle w:val="CenterUnderline"/>
      </w:pPr>
      <w:r>
        <w:t>NOTICE OF FURTHER PROCEEDINGS OR JUDICIAL REVIEW</w:t>
      </w:r>
    </w:p>
    <w:p w14:paraId="51F73EA3" w14:textId="25B1F203" w:rsidR="007451E5" w:rsidRDefault="007451E5" w:rsidP="007451E5">
      <w:pPr>
        <w:pStyle w:val="CenterUnderline"/>
        <w:rPr>
          <w:u w:val="none"/>
        </w:rPr>
      </w:pPr>
    </w:p>
    <w:p w14:paraId="209FC5FB" w14:textId="09BFC938" w:rsidR="007451E5" w:rsidRDefault="007451E5" w:rsidP="007451E5">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05829048" w14:textId="77777777" w:rsidR="007451E5" w:rsidRDefault="007451E5" w:rsidP="007451E5">
      <w:pPr>
        <w:pStyle w:val="OrderBody"/>
      </w:pPr>
    </w:p>
    <w:p w14:paraId="14EF49F8" w14:textId="1D972E48" w:rsidR="007451E5" w:rsidRDefault="007451E5" w:rsidP="007451E5">
      <w:pPr>
        <w:pStyle w:val="OrderBody"/>
      </w:pPr>
      <w:r>
        <w:tab/>
        <w:t>Mediation may be available on a case-by-case basis. If mediation is conducted, it does not affect a substantially interested person's right to a hearing.</w:t>
      </w:r>
    </w:p>
    <w:p w14:paraId="7482794F" w14:textId="77777777" w:rsidR="007451E5" w:rsidRDefault="007451E5" w:rsidP="007451E5">
      <w:pPr>
        <w:pStyle w:val="OrderBody"/>
      </w:pPr>
    </w:p>
    <w:p w14:paraId="5F69B432" w14:textId="126F1E62" w:rsidR="007451E5" w:rsidRDefault="007451E5" w:rsidP="007451E5">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BB124A">
        <w:rPr>
          <w:u w:val="single"/>
        </w:rPr>
        <w:t>August 17, 2026</w:t>
      </w:r>
      <w:r>
        <w:t>.</w:t>
      </w:r>
    </w:p>
    <w:p w14:paraId="3B5CAABF" w14:textId="77777777" w:rsidR="007451E5" w:rsidRDefault="007451E5" w:rsidP="007451E5">
      <w:pPr>
        <w:pStyle w:val="OrderBody"/>
      </w:pPr>
    </w:p>
    <w:p w14:paraId="78F05950" w14:textId="77777777" w:rsidR="007451E5" w:rsidRDefault="007451E5" w:rsidP="007451E5">
      <w:pPr>
        <w:pStyle w:val="OrderBody"/>
      </w:pPr>
      <w:r>
        <w:tab/>
        <w:t>In the absence of such a petition, this order shall become final and effective upon the issuance of a Consummating Order.</w:t>
      </w:r>
    </w:p>
    <w:p w14:paraId="7554D5C2" w14:textId="77777777" w:rsidR="007451E5" w:rsidRDefault="007451E5" w:rsidP="007451E5">
      <w:pPr>
        <w:pStyle w:val="OrderBody"/>
      </w:pPr>
    </w:p>
    <w:p w14:paraId="636AD25E" w14:textId="77777777" w:rsidR="007451E5" w:rsidRDefault="007451E5" w:rsidP="007451E5">
      <w:pPr>
        <w:pStyle w:val="OrderBody"/>
      </w:pPr>
      <w:r>
        <w:tab/>
        <w:t>Any objection or protest filed in this/these docket(s) before the issuance date of this order is considered abandoned unless it satisfies the foregoing conditions and is renewed within the specified protest period.</w:t>
      </w:r>
    </w:p>
    <w:p w14:paraId="10E7E7D9" w14:textId="77777777" w:rsidR="007451E5" w:rsidRDefault="007451E5" w:rsidP="007451E5">
      <w:pPr>
        <w:pStyle w:val="OrderBody"/>
      </w:pPr>
    </w:p>
    <w:p w14:paraId="5009E99F" w14:textId="14155198" w:rsidR="007451E5" w:rsidRDefault="007451E5" w:rsidP="007451E5">
      <w:pPr>
        <w:pStyle w:val="OrderBody"/>
      </w:pPr>
    </w:p>
    <w:p w14:paraId="0652B56B" w14:textId="77777777" w:rsidR="007451E5" w:rsidRPr="007451E5" w:rsidRDefault="007451E5" w:rsidP="007451E5">
      <w:pPr>
        <w:pStyle w:val="OrderBody"/>
      </w:pPr>
    </w:p>
    <w:p w14:paraId="0DE4AE73" w14:textId="77777777" w:rsidR="001678BE" w:rsidRDefault="001678BE" w:rsidP="003715FD">
      <w:pPr>
        <w:sectPr w:rsidR="001678B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14:paraId="382AE352" w14:textId="1024F5C6" w:rsidR="003715FD" w:rsidRDefault="001678BE" w:rsidP="003715FD">
      <w:r>
        <w:rPr>
          <w:noProof/>
        </w:rPr>
        <w:lastRenderedPageBreak/>
        <w:drawing>
          <wp:inline distT="0" distB="0" distL="0" distR="0" wp14:anchorId="74F55FBA" wp14:editId="06465FA9">
            <wp:extent cx="5943600" cy="7691755"/>
            <wp:effectExtent l="0" t="0" r="0" b="4445"/>
            <wp:docPr id="436177781"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77781" name="Picture 1" descr="Tabl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90B0F4D" w14:textId="77777777" w:rsidR="001678BE" w:rsidRDefault="001678BE" w:rsidP="003715FD">
      <w:pPr>
        <w:sectPr w:rsidR="001678BE" w:rsidSect="001678BE">
          <w:headerReference w:type="default" r:id="rId15"/>
          <w:pgSz w:w="12240" w:h="15840" w:code="1"/>
          <w:pgMar w:top="1440" w:right="1440" w:bottom="1440" w:left="1440" w:header="720" w:footer="720" w:gutter="0"/>
          <w:cols w:space="720"/>
          <w:docGrid w:linePitch="360"/>
        </w:sectPr>
      </w:pPr>
    </w:p>
    <w:p w14:paraId="43A0C0A3" w14:textId="67BE6A83" w:rsidR="001678BE" w:rsidRDefault="001678BE" w:rsidP="003715FD">
      <w:r>
        <w:rPr>
          <w:noProof/>
        </w:rPr>
        <w:lastRenderedPageBreak/>
        <w:drawing>
          <wp:inline distT="0" distB="0" distL="0" distR="0" wp14:anchorId="0F090261" wp14:editId="25FD6CDF">
            <wp:extent cx="5943600" cy="7691755"/>
            <wp:effectExtent l="0" t="0" r="0" b="4445"/>
            <wp:docPr id="1265220235" name="Picture 2" descr="A picture containing text, receip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20235" name="Picture 2" descr="A picture containing text, receip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B340AD4" w14:textId="77777777" w:rsidR="001678BE" w:rsidRDefault="001678BE" w:rsidP="003715FD">
      <w:pPr>
        <w:sectPr w:rsidR="001678BE" w:rsidSect="001678BE">
          <w:headerReference w:type="default" r:id="rId17"/>
          <w:pgSz w:w="12240" w:h="15840" w:code="1"/>
          <w:pgMar w:top="1440" w:right="1440" w:bottom="1440" w:left="1440" w:header="720" w:footer="720" w:gutter="0"/>
          <w:cols w:space="720"/>
          <w:docGrid w:linePitch="360"/>
        </w:sectPr>
      </w:pPr>
    </w:p>
    <w:p w14:paraId="3F2BB7B9" w14:textId="6B9E4CF3" w:rsidR="001678BE" w:rsidRDefault="001678BE" w:rsidP="003715FD">
      <w:r>
        <w:rPr>
          <w:noProof/>
        </w:rPr>
        <w:lastRenderedPageBreak/>
        <w:drawing>
          <wp:inline distT="0" distB="0" distL="0" distR="0" wp14:anchorId="32FAEA4F" wp14:editId="187A46DE">
            <wp:extent cx="5943600" cy="7691755"/>
            <wp:effectExtent l="0" t="0" r="0" b="4445"/>
            <wp:docPr id="17403970"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970" name="Picture 3" descr="Text, let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6D7B052" w14:textId="77777777" w:rsidR="001678BE" w:rsidRDefault="001678BE" w:rsidP="003715FD">
      <w:pPr>
        <w:sectPr w:rsidR="001678BE" w:rsidSect="001678BE">
          <w:headerReference w:type="default" r:id="rId19"/>
          <w:pgSz w:w="12240" w:h="15840" w:code="1"/>
          <w:pgMar w:top="1440" w:right="1440" w:bottom="1440" w:left="1440" w:header="720" w:footer="720" w:gutter="0"/>
          <w:cols w:space="720"/>
          <w:docGrid w:linePitch="360"/>
        </w:sectPr>
      </w:pPr>
    </w:p>
    <w:p w14:paraId="3BFEBE4F" w14:textId="2C5197E7" w:rsidR="001678BE" w:rsidRDefault="006E589B" w:rsidP="003715FD">
      <w:r w:rsidRPr="006E589B">
        <w:rPr>
          <w:noProof/>
        </w:rPr>
        <w:lastRenderedPageBreak/>
        <w:drawing>
          <wp:inline distT="0" distB="0" distL="0" distR="0" wp14:anchorId="01CBF8A3" wp14:editId="26FAF746">
            <wp:extent cx="5943600" cy="6938645"/>
            <wp:effectExtent l="0" t="0" r="0" b="0"/>
            <wp:docPr id="907269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6938645"/>
                    </a:xfrm>
                    <a:prstGeom prst="rect">
                      <a:avLst/>
                    </a:prstGeom>
                    <a:noFill/>
                    <a:ln>
                      <a:noFill/>
                    </a:ln>
                  </pic:spPr>
                </pic:pic>
              </a:graphicData>
            </a:graphic>
          </wp:inline>
        </w:drawing>
      </w:r>
    </w:p>
    <w:p w14:paraId="20FE1619" w14:textId="77777777" w:rsidR="001678BE" w:rsidRDefault="001678BE" w:rsidP="003715FD">
      <w:pPr>
        <w:sectPr w:rsidR="001678BE" w:rsidSect="001678BE">
          <w:headerReference w:type="default" r:id="rId21"/>
          <w:pgSz w:w="12240" w:h="15840" w:code="1"/>
          <w:pgMar w:top="1440" w:right="1440" w:bottom="1440" w:left="1440" w:header="720" w:footer="720" w:gutter="0"/>
          <w:cols w:space="720"/>
          <w:docGrid w:linePitch="360"/>
        </w:sectPr>
      </w:pPr>
    </w:p>
    <w:p w14:paraId="40553C7B" w14:textId="79A2785E" w:rsidR="001678BE" w:rsidRDefault="00FC78FD" w:rsidP="003715FD">
      <w:r w:rsidRPr="00FC78FD">
        <w:rPr>
          <w:noProof/>
        </w:rPr>
        <w:lastRenderedPageBreak/>
        <w:drawing>
          <wp:inline distT="0" distB="0" distL="0" distR="0" wp14:anchorId="1CFEED7C" wp14:editId="453418E1">
            <wp:extent cx="5943600" cy="6289675"/>
            <wp:effectExtent l="0" t="0" r="0" b="0"/>
            <wp:docPr id="1607217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6289675"/>
                    </a:xfrm>
                    <a:prstGeom prst="rect">
                      <a:avLst/>
                    </a:prstGeom>
                    <a:noFill/>
                    <a:ln>
                      <a:noFill/>
                    </a:ln>
                  </pic:spPr>
                </pic:pic>
              </a:graphicData>
            </a:graphic>
          </wp:inline>
        </w:drawing>
      </w:r>
    </w:p>
    <w:sectPr w:rsidR="001678BE" w:rsidSect="001678BE">
      <w:headerReference w:type="defaul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6AA0" w14:textId="77777777" w:rsidR="003715FD" w:rsidRDefault="003715FD">
      <w:r>
        <w:separator/>
      </w:r>
    </w:p>
  </w:endnote>
  <w:endnote w:type="continuationSeparator" w:id="0">
    <w:p w14:paraId="025E6DED" w14:textId="77777777" w:rsidR="003715FD" w:rsidRDefault="00371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8BA8" w14:textId="77777777" w:rsidR="00BB124A" w:rsidRDefault="00BB1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9605" w14:textId="77777777" w:rsidR="00BB124A" w:rsidRDefault="00BB12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114A" w14:textId="77777777" w:rsidR="00FA6EFD" w:rsidRDefault="00FA6EFD">
    <w:pPr>
      <w:pStyle w:val="Footer"/>
    </w:pPr>
  </w:p>
  <w:p w14:paraId="13712332"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99E66" w14:textId="77777777" w:rsidR="003715FD" w:rsidRDefault="003715FD">
      <w:r>
        <w:separator/>
      </w:r>
    </w:p>
  </w:footnote>
  <w:footnote w:type="continuationSeparator" w:id="0">
    <w:p w14:paraId="39386BE7" w14:textId="77777777" w:rsidR="003715FD" w:rsidRDefault="003715FD">
      <w:r>
        <w:continuationSeparator/>
      </w:r>
    </w:p>
  </w:footnote>
  <w:footnote w:id="1">
    <w:p w14:paraId="601D4455" w14:textId="77777777" w:rsidR="007465E2" w:rsidRDefault="007465E2" w:rsidP="007465E2">
      <w:pPr>
        <w:pStyle w:val="FootnoteText"/>
      </w:pPr>
      <w:r>
        <w:rPr>
          <w:rStyle w:val="FootnoteReference"/>
        </w:rPr>
        <w:footnoteRef/>
      </w:r>
      <w:r>
        <w:t xml:space="preserve"> </w:t>
      </w:r>
      <w:r w:rsidRPr="0057440D">
        <w:rPr>
          <w:i/>
          <w:szCs w:val="24"/>
        </w:rPr>
        <w:t xml:space="preserve">See </w:t>
      </w:r>
      <w:r>
        <w:rPr>
          <w:szCs w:val="24"/>
        </w:rPr>
        <w:t xml:space="preserve">Chapter </w:t>
      </w:r>
      <w:r w:rsidRPr="0057440D">
        <w:rPr>
          <w:szCs w:val="24"/>
        </w:rPr>
        <w:t>2025-148, Laws of Florida.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92A5" w14:textId="77777777" w:rsidR="00BB124A" w:rsidRDefault="00BB1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D0C4" w14:textId="6E4D3B7A" w:rsidR="00FA6EFD" w:rsidRDefault="00FA6EFD">
    <w:pPr>
      <w:pStyle w:val="OrderHeader"/>
    </w:pPr>
    <w:r>
      <w:t xml:space="preserve">ORDER NO. </w:t>
    </w:r>
    <w:r w:rsidR="00BB124A">
      <w:fldChar w:fldCharType="begin"/>
    </w:r>
    <w:r w:rsidR="00BB124A">
      <w:instrText xml:space="preserve"> REF OrderNo0262 </w:instrText>
    </w:r>
    <w:r w:rsidR="00BB124A">
      <w:fldChar w:fldCharType="separate"/>
    </w:r>
    <w:r w:rsidR="00A60AE0">
      <w:t>PSC-2026-0262-PAA-TP</w:t>
    </w:r>
    <w:r w:rsidR="00BB124A">
      <w:fldChar w:fldCharType="end"/>
    </w:r>
  </w:p>
  <w:p w14:paraId="411AB1D1" w14:textId="78B21E03" w:rsidR="00FA6EFD" w:rsidRDefault="003715FD">
    <w:pPr>
      <w:pStyle w:val="OrderHeader"/>
    </w:pPr>
    <w:bookmarkStart w:id="15" w:name="HeaderDocketNo"/>
    <w:bookmarkEnd w:id="15"/>
    <w:r>
      <w:t>DOCKET NO. 20260042-TP</w:t>
    </w:r>
  </w:p>
  <w:p w14:paraId="382464C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73A4B67" w14:textId="77777777"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56611" w14:textId="77777777" w:rsidR="00BB124A" w:rsidRDefault="00BB12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2DFF" w14:textId="21F07C56" w:rsidR="001678BE" w:rsidRDefault="00BB124A">
    <w:pPr>
      <w:pStyle w:val="OrderHeader"/>
    </w:pPr>
    <w:r>
      <w:t>ORDER NO. PSC-2026-0262-PAA-TP</w:t>
    </w:r>
    <w:r w:rsidR="001678BE">
      <w:tab/>
    </w:r>
    <w:r w:rsidR="001678BE">
      <w:tab/>
      <w:t>Attachment A</w:t>
    </w:r>
  </w:p>
  <w:p w14:paraId="32505984" w14:textId="77777777" w:rsidR="001678BE" w:rsidRDefault="001678BE">
    <w:pPr>
      <w:pStyle w:val="OrderHeader"/>
    </w:pPr>
    <w:r>
      <w:t>DOCKET NO. 20260042-TP</w:t>
    </w:r>
  </w:p>
  <w:p w14:paraId="4F86FA8A" w14:textId="77777777" w:rsidR="001678BE" w:rsidRDefault="001678B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84654F5" w14:textId="77777777" w:rsidR="001678BE" w:rsidRDefault="001678BE">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B538" w14:textId="75C496A0" w:rsidR="001678BE" w:rsidRDefault="00BB124A">
    <w:pPr>
      <w:pStyle w:val="OrderHeader"/>
    </w:pPr>
    <w:r>
      <w:t>ORDER NO. PSC-2026-0262-PAA-TP</w:t>
    </w:r>
    <w:r w:rsidR="001678BE">
      <w:tab/>
    </w:r>
    <w:r w:rsidR="001678BE">
      <w:tab/>
      <w:t>Attachment A</w:t>
    </w:r>
  </w:p>
  <w:p w14:paraId="0F6502DC" w14:textId="77777777" w:rsidR="001678BE" w:rsidRDefault="001678BE">
    <w:pPr>
      <w:pStyle w:val="OrderHeader"/>
    </w:pPr>
    <w:r>
      <w:t>DOCKET NO. 20260042-TP</w:t>
    </w:r>
  </w:p>
  <w:p w14:paraId="312B64E0" w14:textId="77777777" w:rsidR="001678BE" w:rsidRDefault="001678B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C9ACA1" w14:textId="77777777" w:rsidR="001678BE" w:rsidRDefault="001678BE">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E36D" w14:textId="757D45B6" w:rsidR="001678BE" w:rsidRDefault="00BB124A">
    <w:pPr>
      <w:pStyle w:val="OrderHeader"/>
    </w:pPr>
    <w:r>
      <w:t>ORDER NO. PSC-2026-0262-PAA-TP</w:t>
    </w:r>
    <w:r w:rsidR="001678BE">
      <w:tab/>
    </w:r>
    <w:r w:rsidR="001678BE">
      <w:tab/>
      <w:t>Attachment A</w:t>
    </w:r>
  </w:p>
  <w:p w14:paraId="2050BF64" w14:textId="77777777" w:rsidR="001678BE" w:rsidRDefault="001678BE">
    <w:pPr>
      <w:pStyle w:val="OrderHeader"/>
    </w:pPr>
    <w:r>
      <w:t>DOCKET NO. 20260042-TP</w:t>
    </w:r>
  </w:p>
  <w:p w14:paraId="54CB1D4B" w14:textId="77777777" w:rsidR="001678BE" w:rsidRDefault="001678B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F2FA868" w14:textId="77777777" w:rsidR="001678BE" w:rsidRDefault="001678BE">
    <w:pPr>
      <w:pStyle w:val="Order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D9E6" w14:textId="25F27E93" w:rsidR="001678BE" w:rsidRDefault="00BB124A">
    <w:pPr>
      <w:pStyle w:val="OrderHeader"/>
    </w:pPr>
    <w:r>
      <w:t>ORDER NO. PSC-2026-0262-PAA-TP</w:t>
    </w:r>
    <w:r w:rsidR="001678BE">
      <w:tab/>
    </w:r>
    <w:r w:rsidR="001678BE">
      <w:tab/>
      <w:t>Attachment B</w:t>
    </w:r>
  </w:p>
  <w:p w14:paraId="0B574C16" w14:textId="77777777" w:rsidR="001678BE" w:rsidRDefault="001678BE">
    <w:pPr>
      <w:pStyle w:val="OrderHeader"/>
    </w:pPr>
    <w:r>
      <w:t>DOCKET NO. 20260042-TP</w:t>
    </w:r>
  </w:p>
  <w:p w14:paraId="2F0EA177" w14:textId="77777777" w:rsidR="001678BE" w:rsidRDefault="001678B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F5511EB" w14:textId="77777777" w:rsidR="001678BE" w:rsidRDefault="001678BE">
    <w:pPr>
      <w:pStyle w:val="Order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CE19" w14:textId="75F50553" w:rsidR="001678BE" w:rsidRDefault="00BB124A">
    <w:pPr>
      <w:pStyle w:val="OrderHeader"/>
    </w:pPr>
    <w:r>
      <w:t>ORDER NO. PSC-2026-0262-PAA-TP</w:t>
    </w:r>
    <w:r w:rsidR="001678BE">
      <w:tab/>
    </w:r>
    <w:r w:rsidR="001678BE">
      <w:tab/>
      <w:t>Attachment B</w:t>
    </w:r>
  </w:p>
  <w:p w14:paraId="736A5046" w14:textId="77777777" w:rsidR="001678BE" w:rsidRDefault="001678BE">
    <w:pPr>
      <w:pStyle w:val="OrderHeader"/>
    </w:pPr>
    <w:r>
      <w:t>DOCKET NO. 20260042-TP</w:t>
    </w:r>
  </w:p>
  <w:p w14:paraId="50967A4D" w14:textId="77777777" w:rsidR="001678BE" w:rsidRDefault="001678B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7DEB2F7" w14:textId="77777777" w:rsidR="001678BE" w:rsidRDefault="001678BE">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53874"/>
    <w:multiLevelType w:val="hybridMultilevel"/>
    <w:tmpl w:val="FB405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727B1E"/>
    <w:multiLevelType w:val="hybridMultilevel"/>
    <w:tmpl w:val="45C65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CE16EC"/>
    <w:multiLevelType w:val="hybridMultilevel"/>
    <w:tmpl w:val="3F529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168106">
    <w:abstractNumId w:val="2"/>
  </w:num>
  <w:num w:numId="2" w16cid:durableId="317349862">
    <w:abstractNumId w:val="1"/>
  </w:num>
  <w:num w:numId="3" w16cid:durableId="156070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42-TP"/>
  </w:docVars>
  <w:rsids>
    <w:rsidRoot w:val="003715F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58D6"/>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2A8"/>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678BE"/>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1AF"/>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64BD"/>
    <w:rsid w:val="002C09F5"/>
    <w:rsid w:val="002C118E"/>
    <w:rsid w:val="002C2096"/>
    <w:rsid w:val="002C30B9"/>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5FD"/>
    <w:rsid w:val="0037196E"/>
    <w:rsid w:val="0037442E"/>
    <w:rsid w:val="003744F5"/>
    <w:rsid w:val="00382C6A"/>
    <w:rsid w:val="00385D0B"/>
    <w:rsid w:val="003875A9"/>
    <w:rsid w:val="00387BDE"/>
    <w:rsid w:val="00390DD8"/>
    <w:rsid w:val="00394DC6"/>
    <w:rsid w:val="00397C3E"/>
    <w:rsid w:val="003A2DFC"/>
    <w:rsid w:val="003A5F8B"/>
    <w:rsid w:val="003B01AE"/>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580"/>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1607"/>
    <w:rsid w:val="005A2CBF"/>
    <w:rsid w:val="005A31F4"/>
    <w:rsid w:val="005A73EA"/>
    <w:rsid w:val="005B45F7"/>
    <w:rsid w:val="005B63EA"/>
    <w:rsid w:val="005C15A7"/>
    <w:rsid w:val="005C1A88"/>
    <w:rsid w:val="005C5033"/>
    <w:rsid w:val="005D4E1B"/>
    <w:rsid w:val="005E58E7"/>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6F0F"/>
    <w:rsid w:val="00692E1A"/>
    <w:rsid w:val="00693483"/>
    <w:rsid w:val="00695682"/>
    <w:rsid w:val="00696892"/>
    <w:rsid w:val="006A0A0A"/>
    <w:rsid w:val="006A0BF3"/>
    <w:rsid w:val="006A502B"/>
    <w:rsid w:val="006B0036"/>
    <w:rsid w:val="006B0DA6"/>
    <w:rsid w:val="006B3FA9"/>
    <w:rsid w:val="006C21F7"/>
    <w:rsid w:val="006C3055"/>
    <w:rsid w:val="006C547E"/>
    <w:rsid w:val="006C6A11"/>
    <w:rsid w:val="006D1898"/>
    <w:rsid w:val="006D2B51"/>
    <w:rsid w:val="006D5575"/>
    <w:rsid w:val="006D7191"/>
    <w:rsid w:val="006E21C4"/>
    <w:rsid w:val="006E42BE"/>
    <w:rsid w:val="006E589B"/>
    <w:rsid w:val="006E5D4D"/>
    <w:rsid w:val="006E6D16"/>
    <w:rsid w:val="00703F2A"/>
    <w:rsid w:val="0070426E"/>
    <w:rsid w:val="00704C5D"/>
    <w:rsid w:val="007072BC"/>
    <w:rsid w:val="00715275"/>
    <w:rsid w:val="00721B44"/>
    <w:rsid w:val="007232A2"/>
    <w:rsid w:val="00726366"/>
    <w:rsid w:val="0072670E"/>
    <w:rsid w:val="00731AB6"/>
    <w:rsid w:val="00733B6B"/>
    <w:rsid w:val="00740808"/>
    <w:rsid w:val="00740A1B"/>
    <w:rsid w:val="00742478"/>
    <w:rsid w:val="007451E5"/>
    <w:rsid w:val="007465E2"/>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5710"/>
    <w:rsid w:val="007C7134"/>
    <w:rsid w:val="007C734E"/>
    <w:rsid w:val="007C7ECF"/>
    <w:rsid w:val="007D3D20"/>
    <w:rsid w:val="007D44F9"/>
    <w:rsid w:val="007D742E"/>
    <w:rsid w:val="007E3AFD"/>
    <w:rsid w:val="007E3DA5"/>
    <w:rsid w:val="007E542E"/>
    <w:rsid w:val="007F7943"/>
    <w:rsid w:val="00801DAD"/>
    <w:rsid w:val="00803189"/>
    <w:rsid w:val="00804E7A"/>
    <w:rsid w:val="00805FBB"/>
    <w:rsid w:val="00812E15"/>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1E7"/>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07F0E"/>
    <w:rsid w:val="00A108A7"/>
    <w:rsid w:val="00A228DA"/>
    <w:rsid w:val="00A22B28"/>
    <w:rsid w:val="00A25191"/>
    <w:rsid w:val="00A26DC0"/>
    <w:rsid w:val="00A3351E"/>
    <w:rsid w:val="00A36867"/>
    <w:rsid w:val="00A4303C"/>
    <w:rsid w:val="00A46CAF"/>
    <w:rsid w:val="00A47099"/>
    <w:rsid w:val="00A470FD"/>
    <w:rsid w:val="00A50B5E"/>
    <w:rsid w:val="00A52B5D"/>
    <w:rsid w:val="00A571FA"/>
    <w:rsid w:val="00A60AE0"/>
    <w:rsid w:val="00A61877"/>
    <w:rsid w:val="00A62DAB"/>
    <w:rsid w:val="00A6757A"/>
    <w:rsid w:val="00A726A6"/>
    <w:rsid w:val="00A74842"/>
    <w:rsid w:val="00A81440"/>
    <w:rsid w:val="00A818AD"/>
    <w:rsid w:val="00A8269A"/>
    <w:rsid w:val="00A86A50"/>
    <w:rsid w:val="00A87155"/>
    <w:rsid w:val="00A9178A"/>
    <w:rsid w:val="00A92DEC"/>
    <w:rsid w:val="00A9515B"/>
    <w:rsid w:val="00A97535"/>
    <w:rsid w:val="00AA2BAA"/>
    <w:rsid w:val="00AA6516"/>
    <w:rsid w:val="00AA73E7"/>
    <w:rsid w:val="00AA73F1"/>
    <w:rsid w:val="00AB0E1A"/>
    <w:rsid w:val="00AB1A30"/>
    <w:rsid w:val="00AB3C36"/>
    <w:rsid w:val="00AB3D30"/>
    <w:rsid w:val="00AB755E"/>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231E"/>
    <w:rsid w:val="00B67A43"/>
    <w:rsid w:val="00B67F9F"/>
    <w:rsid w:val="00B71D1F"/>
    <w:rsid w:val="00B72B25"/>
    <w:rsid w:val="00B72CFF"/>
    <w:rsid w:val="00B73DE6"/>
    <w:rsid w:val="00B761CD"/>
    <w:rsid w:val="00B76B66"/>
    <w:rsid w:val="00B84241"/>
    <w:rsid w:val="00B86EF0"/>
    <w:rsid w:val="00B966ED"/>
    <w:rsid w:val="00B96969"/>
    <w:rsid w:val="00B97900"/>
    <w:rsid w:val="00BA1229"/>
    <w:rsid w:val="00BA44A8"/>
    <w:rsid w:val="00BA49C5"/>
    <w:rsid w:val="00BA74C7"/>
    <w:rsid w:val="00BB0182"/>
    <w:rsid w:val="00BB124A"/>
    <w:rsid w:val="00BB2F4A"/>
    <w:rsid w:val="00BB637C"/>
    <w:rsid w:val="00BC1006"/>
    <w:rsid w:val="00BC786E"/>
    <w:rsid w:val="00BD5C92"/>
    <w:rsid w:val="00BE50E6"/>
    <w:rsid w:val="00BE7A0C"/>
    <w:rsid w:val="00BF2928"/>
    <w:rsid w:val="00BF5D60"/>
    <w:rsid w:val="00BF6691"/>
    <w:rsid w:val="00C00BC9"/>
    <w:rsid w:val="00C028FC"/>
    <w:rsid w:val="00C037F2"/>
    <w:rsid w:val="00C0386D"/>
    <w:rsid w:val="00C065A1"/>
    <w:rsid w:val="00C06FB1"/>
    <w:rsid w:val="00C10ED5"/>
    <w:rsid w:val="00C12574"/>
    <w:rsid w:val="00C12CB3"/>
    <w:rsid w:val="00C151A6"/>
    <w:rsid w:val="00C21706"/>
    <w:rsid w:val="00C24098"/>
    <w:rsid w:val="00C2571F"/>
    <w:rsid w:val="00C30A4E"/>
    <w:rsid w:val="00C3483B"/>
    <w:rsid w:val="00C3641C"/>
    <w:rsid w:val="00C411F3"/>
    <w:rsid w:val="00C44105"/>
    <w:rsid w:val="00C52004"/>
    <w:rsid w:val="00C523EC"/>
    <w:rsid w:val="00C5516A"/>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5EB6"/>
    <w:rsid w:val="00C96CB0"/>
    <w:rsid w:val="00CA1595"/>
    <w:rsid w:val="00CA21C4"/>
    <w:rsid w:val="00CA5C68"/>
    <w:rsid w:val="00CA5DBF"/>
    <w:rsid w:val="00CA6CC2"/>
    <w:rsid w:val="00CA71FF"/>
    <w:rsid w:val="00CB2393"/>
    <w:rsid w:val="00CB2456"/>
    <w:rsid w:val="00CB5276"/>
    <w:rsid w:val="00CB55F8"/>
    <w:rsid w:val="00CB5BFC"/>
    <w:rsid w:val="00CB5C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639"/>
    <w:rsid w:val="00D47A40"/>
    <w:rsid w:val="00D51D33"/>
    <w:rsid w:val="00D57132"/>
    <w:rsid w:val="00D57BB2"/>
    <w:rsid w:val="00D57E57"/>
    <w:rsid w:val="00D611DF"/>
    <w:rsid w:val="00D65405"/>
    <w:rsid w:val="00D70752"/>
    <w:rsid w:val="00D77143"/>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0898"/>
    <w:rsid w:val="00ED6A79"/>
    <w:rsid w:val="00EE17DF"/>
    <w:rsid w:val="00EF1482"/>
    <w:rsid w:val="00EF4621"/>
    <w:rsid w:val="00EF4D52"/>
    <w:rsid w:val="00EF6312"/>
    <w:rsid w:val="00F00C4B"/>
    <w:rsid w:val="00F02469"/>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556E"/>
    <w:rsid w:val="00FA6EFD"/>
    <w:rsid w:val="00FB2A8E"/>
    <w:rsid w:val="00FB3791"/>
    <w:rsid w:val="00FB6780"/>
    <w:rsid w:val="00FB74EA"/>
    <w:rsid w:val="00FC1262"/>
    <w:rsid w:val="00FC78FD"/>
    <w:rsid w:val="00FD0ADB"/>
    <w:rsid w:val="00FD1424"/>
    <w:rsid w:val="00FD2C9E"/>
    <w:rsid w:val="00FD334A"/>
    <w:rsid w:val="00FD4786"/>
    <w:rsid w:val="00FD616C"/>
    <w:rsid w:val="00FE4BA2"/>
    <w:rsid w:val="00FE53F2"/>
    <w:rsid w:val="00FF0A00"/>
    <w:rsid w:val="00FF1C57"/>
    <w:rsid w:val="00FF2581"/>
    <w:rsid w:val="00FF559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226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aliases w:val="Appel note de bas de p,Style 12,(NECG) Footnote Reference,Style 124,o,fr,Style 3,Style 13,FR,-E Funotenzeichen,A,Footnote Reference/,Footnote Reference1,Style 17,Style 20,Style 34,Style 4,Style 6,Style 7,Style 9,callout"/>
    <w:rsid w:val="00CD7132"/>
    <w:rPr>
      <w:vertAlign w:val="superscript"/>
    </w:rPr>
  </w:style>
  <w:style w:type="paragraph" w:styleId="FootnoteText">
    <w:name w:val="footnote text"/>
    <w:aliases w:val="Footnote Text Char2,Footnote Text Char Char1,Footnote Text Char3 Char Char1,Footnote Text Char2 Char1 Char Char,Footnote Text Char3 Char Char1 Char Char,Footnote Text Char2 Char Char Char Char Char,Footnote Text Char4,Footnote Text Char3,f"/>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uiPriority w:val="1"/>
    <w:qFormat/>
    <w:rsid w:val="00CD7132"/>
    <w:pPr>
      <w:spacing w:after="120"/>
    </w:pPr>
  </w:style>
  <w:style w:type="character" w:customStyle="1" w:styleId="BodyTextChar">
    <w:name w:val="Body Text Char"/>
    <w:link w:val="BodyText"/>
    <w:uiPriority w:val="1"/>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7465E2"/>
    <w:pPr>
      <w:jc w:val="center"/>
    </w:pPr>
    <w:rPr>
      <w:rFonts w:ascii="Arial" w:hAnsi="Arial"/>
      <w:b/>
    </w:rPr>
  </w:style>
  <w:style w:type="character" w:customStyle="1" w:styleId="FootnoteTextChar">
    <w:name w:val="Footnote Text Char"/>
    <w:aliases w:val="Footnote Text Char2 Char,Footnote Text Char Char1 Char,Footnote Text Char3 Char Char1 Char,Footnote Text Char2 Char1 Char Char Char,Footnote Text Char3 Char Char1 Char Char Char,Footnote Text Char2 Char Char Char Char Char Char,f Char"/>
    <w:basedOn w:val="DefaultParagraphFont"/>
    <w:link w:val="FootnoteText"/>
    <w:rsid w:val="007465E2"/>
  </w:style>
  <w:style w:type="paragraph" w:customStyle="1" w:styleId="IssueHeading">
    <w:name w:val="Issue Heading"/>
    <w:basedOn w:val="Heading1"/>
    <w:next w:val="BodyText"/>
    <w:link w:val="IssueHeadingChar"/>
    <w:qFormat/>
    <w:rsid w:val="007465E2"/>
    <w:pPr>
      <w:keepNext w:val="0"/>
    </w:pPr>
    <w:rPr>
      <w:rFonts w:ascii="Arial" w:hAnsi="Arial"/>
      <w:b/>
      <w:i/>
    </w:rPr>
  </w:style>
  <w:style w:type="character" w:customStyle="1" w:styleId="IssueHeadingChar">
    <w:name w:val="Issue Heading Char"/>
    <w:link w:val="IssueHeading"/>
    <w:rsid w:val="007465E2"/>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7465E2"/>
    <w:pPr>
      <w:keepNext w:val="0"/>
    </w:pPr>
    <w:rPr>
      <w:rFonts w:ascii="Arial" w:hAnsi="Arial"/>
      <w:b/>
      <w:i/>
    </w:rPr>
  </w:style>
  <w:style w:type="character" w:customStyle="1" w:styleId="IssueSubsectionHeadingChar">
    <w:name w:val="Issue Subsection Heading Char"/>
    <w:link w:val="IssueSubsectionHeading"/>
    <w:rsid w:val="007465E2"/>
    <w:rPr>
      <w:rFonts w:ascii="Arial" w:hAnsi="Arial" w:cs="Arial"/>
      <w:b/>
      <w:bCs/>
      <w:i/>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8B0EB-F5AC-4E34-BCCE-9C617F91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3403</Words>
  <Characters>19402</Characters>
  <Application>Microsoft Office Word</Application>
  <DocSecurity>0</DocSecurity>
  <Lines>161</Lines>
  <Paragraphs>45</Paragraphs>
  <ScaleCrop>false</ScaleCrop>
  <Company/>
  <LinksUpToDate>false</LinksUpToDate>
  <CharactersWithSpaces>22760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2026-07-27T12:52:00Z</dcterms:created>
  <dcterms:modified xsi:type="dcterms:W3CDTF">2026-07-27T13:48:00Z</dcterms:modified>
</cp:coreProperties>
</file>